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5F46" w14:textId="4B1263A3" w:rsidR="00972754" w:rsidRDefault="00972754" w:rsidP="00972754">
      <w:pPr>
        <w:pStyle w:val="Heading1"/>
      </w:pPr>
      <w:r w:rsidRPr="00972754">
        <w:t>AI in the Public Service</w:t>
      </w:r>
    </w:p>
    <w:p w14:paraId="691DAE47" w14:textId="77777777" w:rsidR="00972754" w:rsidRPr="00972754" w:rsidRDefault="00972754" w:rsidP="00972754">
      <w:r>
        <w:rPr>
          <w:noProof/>
        </w:rPr>
        <w:drawing>
          <wp:anchor distT="0" distB="0" distL="114300" distR="114300" simplePos="0" relativeHeight="251658240" behindDoc="0" locked="0" layoutInCell="1" allowOverlap="1" wp14:anchorId="27F430A7" wp14:editId="19A14B13">
            <wp:simplePos x="0" y="0"/>
            <wp:positionH relativeFrom="column">
              <wp:posOffset>0</wp:posOffset>
            </wp:positionH>
            <wp:positionV relativeFrom="paragraph">
              <wp:posOffset>2635</wp:posOffset>
            </wp:positionV>
            <wp:extent cx="2106304" cy="3159456"/>
            <wp:effectExtent l="0" t="0" r="0" b="0"/>
            <wp:wrapSquare wrapText="bothSides"/>
            <wp:docPr id="1964134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34616" name="Picture 1964134616"/>
                    <pic:cNvPicPr/>
                  </pic:nvPicPr>
                  <pic:blipFill>
                    <a:blip r:embed="rId5">
                      <a:extLst>
                        <a:ext uri="{28A0092B-C50C-407E-A947-70E740481C1C}">
                          <a14:useLocalDpi xmlns:a14="http://schemas.microsoft.com/office/drawing/2010/main" val="0"/>
                        </a:ext>
                      </a:extLst>
                    </a:blip>
                    <a:stretch>
                      <a:fillRect/>
                    </a:stretch>
                  </pic:blipFill>
                  <pic:spPr>
                    <a:xfrm>
                      <a:off x="0" y="0"/>
                      <a:ext cx="2106304" cy="3159456"/>
                    </a:xfrm>
                    <a:prstGeom prst="rect">
                      <a:avLst/>
                    </a:prstGeom>
                  </pic:spPr>
                </pic:pic>
              </a:graphicData>
            </a:graphic>
            <wp14:sizeRelH relativeFrom="page">
              <wp14:pctWidth>0</wp14:pctWidth>
            </wp14:sizeRelH>
            <wp14:sizeRelV relativeFrom="page">
              <wp14:pctHeight>0</wp14:pctHeight>
            </wp14:sizeRelV>
          </wp:anchor>
        </w:drawing>
      </w:r>
      <w:r w:rsidRPr="00972754">
        <w:rPr>
          <w:b/>
          <w:bCs/>
        </w:rPr>
        <w:t>Kia ora, I'm Daniel.</w:t>
      </w:r>
    </w:p>
    <w:p w14:paraId="34C82AF6" w14:textId="64503E16" w:rsidR="00972754" w:rsidRPr="00972754" w:rsidRDefault="00972754" w:rsidP="00972754">
      <w:r w:rsidRPr="00972754">
        <w:t xml:space="preserve">I work in the engagement team in our agency as a senior advisor. I've been in the job for a while and it's interesting to witness how AI use is growing in my team </w:t>
      </w:r>
      <w:proofErr w:type="gramStart"/>
      <w:r w:rsidRPr="00972754">
        <w:t>and also</w:t>
      </w:r>
      <w:proofErr w:type="gramEnd"/>
      <w:r w:rsidRPr="00972754">
        <w:t xml:space="preserve"> across our agency. So far, I've found it great for documents and summarising but I'm keen to understand the future of AI in the public sector.</w:t>
      </w:r>
    </w:p>
    <w:p w14:paraId="6AF21E00" w14:textId="741C8705" w:rsidR="00972754" w:rsidRPr="00972754" w:rsidRDefault="00972754" w:rsidP="00972754">
      <w:r w:rsidRPr="00972754">
        <w:t>I'm also keen to get a sense of how AI is being used already in other agencies, so that we can learn from each other's ideas.</w:t>
      </w:r>
    </w:p>
    <w:p w14:paraId="6575E7B3" w14:textId="77777777" w:rsidR="00972754" w:rsidRDefault="00972754" w:rsidP="00972754">
      <w:r w:rsidRPr="00972754">
        <w:t>Let's go!</w:t>
      </w:r>
    </w:p>
    <w:p w14:paraId="677ADAAF" w14:textId="06D3CE83" w:rsidR="00972754" w:rsidRDefault="00972754" w:rsidP="00972754"/>
    <w:p w14:paraId="612B1B47" w14:textId="77777777" w:rsidR="00972754" w:rsidRDefault="00972754" w:rsidP="00972754"/>
    <w:p w14:paraId="12FC9E57" w14:textId="6E9AB89B" w:rsidR="00972754" w:rsidRDefault="00972754" w:rsidP="00972754">
      <w:pPr>
        <w:pStyle w:val="Heading2"/>
      </w:pPr>
      <w:r w:rsidRPr="00972754">
        <w:t>Learning Outcomes and Navigation</w:t>
      </w:r>
    </w:p>
    <w:p w14:paraId="545289DB" w14:textId="058D3E88" w:rsidR="00972754" w:rsidRPr="00972754" w:rsidRDefault="00972754" w:rsidP="00972754">
      <w:r w:rsidRPr="00972754">
        <w:t>This learning series is designed to build your confidence using AI in your everyday work as a public servant. This series is made up of short, focused learning you can complete in just a few minutes.</w:t>
      </w:r>
    </w:p>
    <w:p w14:paraId="56D53C39" w14:textId="38F7DAD2" w:rsidR="00972754" w:rsidRDefault="00972754" w:rsidP="00972754">
      <w:pPr>
        <w:rPr>
          <w:b/>
          <w:bCs/>
          <w:color w:val="C00000"/>
        </w:rPr>
      </w:pPr>
      <w:r w:rsidRPr="00972754">
        <w:rPr>
          <w:b/>
          <w:bCs/>
        </w:rPr>
        <w:t>AI in the Public Service</w:t>
      </w:r>
      <w:r>
        <w:rPr>
          <w:b/>
          <w:bCs/>
        </w:rPr>
        <w:t xml:space="preserve"> </w:t>
      </w:r>
      <w:r w:rsidRPr="00972754">
        <w:rPr>
          <w:b/>
          <w:bCs/>
          <w:color w:val="C00000"/>
        </w:rPr>
        <w:sym w:font="Wingdings" w:char="F0DF"/>
      </w:r>
      <w:r w:rsidRPr="00972754">
        <w:rPr>
          <w:b/>
          <w:bCs/>
          <w:color w:val="C00000"/>
        </w:rPr>
        <w:t xml:space="preserve"> You are here</w:t>
      </w:r>
    </w:p>
    <w:p w14:paraId="6C6E4304" w14:textId="20074418" w:rsidR="00972754" w:rsidRPr="00972754" w:rsidRDefault="00972754" w:rsidP="00972754">
      <w:pPr>
        <w:rPr>
          <w:b/>
          <w:bCs/>
        </w:rPr>
      </w:pPr>
      <w:r w:rsidRPr="00972754">
        <w:rPr>
          <w:b/>
          <w:bCs/>
        </w:rPr>
        <w:t>What the Public Service is doing</w:t>
      </w:r>
    </w:p>
    <w:p w14:paraId="19DBB14E" w14:textId="62B5975F" w:rsidR="00972754" w:rsidRPr="00972754" w:rsidRDefault="00972754" w:rsidP="00972754">
      <w:pPr>
        <w:rPr>
          <w:b/>
          <w:bCs/>
        </w:rPr>
      </w:pPr>
      <w:r w:rsidRPr="00972754">
        <w:rPr>
          <w:b/>
          <w:bCs/>
        </w:rPr>
        <w:t>Bringing it all together: your next steps</w:t>
      </w:r>
    </w:p>
    <w:p w14:paraId="761F154C" w14:textId="7B07E38C" w:rsidR="00972754" w:rsidRPr="00972754" w:rsidRDefault="00972754" w:rsidP="00972754">
      <w:r w:rsidRPr="00972754">
        <w:t>You'll explore:</w:t>
      </w:r>
    </w:p>
    <w:p w14:paraId="72228333" w14:textId="02AC995C" w:rsidR="00972754" w:rsidRPr="00972754" w:rsidRDefault="00972754" w:rsidP="00972754">
      <w:pPr>
        <w:pStyle w:val="ListParagraph"/>
        <w:numPr>
          <w:ilvl w:val="0"/>
          <w:numId w:val="1"/>
        </w:numPr>
      </w:pPr>
      <w:r w:rsidRPr="00972754">
        <w:t>How agencies are developing policy and governance to keep you safe using AI.</w:t>
      </w:r>
    </w:p>
    <w:p w14:paraId="3D0A4E4C" w14:textId="398770ED" w:rsidR="00972754" w:rsidRPr="00972754" w:rsidRDefault="00972754" w:rsidP="00972754">
      <w:pPr>
        <w:pStyle w:val="ListParagraph"/>
        <w:numPr>
          <w:ilvl w:val="0"/>
          <w:numId w:val="1"/>
        </w:numPr>
      </w:pPr>
      <w:r w:rsidRPr="00972754">
        <w:t>Specific examples of how public sector organisations are using AI to support their delivery.</w:t>
      </w:r>
    </w:p>
    <w:p w14:paraId="0BB611D2" w14:textId="742DC501" w:rsidR="00972754" w:rsidRDefault="00972754" w:rsidP="00972754">
      <w:pPr>
        <w:pStyle w:val="ListParagraph"/>
        <w:numPr>
          <w:ilvl w:val="0"/>
          <w:numId w:val="1"/>
        </w:numPr>
      </w:pPr>
      <w:r w:rsidRPr="00972754">
        <w:t>The kind of value that AI aims to create, and for whom.</w:t>
      </w:r>
    </w:p>
    <w:p w14:paraId="4D05493B" w14:textId="77777777" w:rsidR="00972754" w:rsidRDefault="00972754" w:rsidP="00972754"/>
    <w:p w14:paraId="068163FE" w14:textId="5A2E0923" w:rsidR="00972754" w:rsidRDefault="00972754" w:rsidP="00972754">
      <w:pPr>
        <w:rPr>
          <w:noProof/>
        </w:rPr>
      </w:pPr>
    </w:p>
    <w:p w14:paraId="604F5027" w14:textId="35729292" w:rsidR="00972754" w:rsidRPr="00972754" w:rsidRDefault="00972754" w:rsidP="00972754">
      <w:r>
        <w:rPr>
          <w:noProof/>
        </w:rPr>
        <w:drawing>
          <wp:anchor distT="0" distB="0" distL="114300" distR="114300" simplePos="0" relativeHeight="251659264" behindDoc="0" locked="0" layoutInCell="1" allowOverlap="1" wp14:anchorId="46E5AC6D" wp14:editId="0198DD6D">
            <wp:simplePos x="0" y="0"/>
            <wp:positionH relativeFrom="margin">
              <wp:align>left</wp:align>
            </wp:positionH>
            <wp:positionV relativeFrom="paragraph">
              <wp:posOffset>-284233</wp:posOffset>
            </wp:positionV>
            <wp:extent cx="1316990" cy="1139825"/>
            <wp:effectExtent l="0" t="0" r="0" b="3175"/>
            <wp:wrapSquare wrapText="bothSides"/>
            <wp:docPr id="165026725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67251" name="Graphic 1650267251"/>
                    <pic:cNvPicPr/>
                  </pic:nvPicPr>
                  <pic:blipFill rotWithShape="1">
                    <a:blip r:embed="rId6">
                      <a:extLst>
                        <a:ext uri="{96DAC541-7B7A-43D3-8B79-37D633B846F1}">
                          <asvg:svgBlip xmlns:asvg="http://schemas.microsoft.com/office/drawing/2016/SVG/main" r:embed="rId7"/>
                        </a:ext>
                      </a:extLst>
                    </a:blip>
                    <a:srcRect b="53699"/>
                    <a:stretch>
                      <a:fillRect/>
                    </a:stretch>
                  </pic:blipFill>
                  <pic:spPr bwMode="auto">
                    <a:xfrm>
                      <a:off x="0" y="0"/>
                      <a:ext cx="1316990" cy="113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t>
      </w:r>
      <w:r w:rsidRPr="00972754">
        <w:t xml:space="preserve">We've talked a bit about the public service settings for AI, but what about our individual agencies.  How do they know what to do and how do they establish AI governance.  The AI Framework </w:t>
      </w:r>
      <w:r w:rsidRPr="00972754">
        <w:lastRenderedPageBreak/>
        <w:t>provides the 5 key principles and AI governance is how we apply those principles in our agencies.</w:t>
      </w:r>
    </w:p>
    <w:p w14:paraId="5DC2CAC6" w14:textId="21B06AC1" w:rsidR="00972754" w:rsidRDefault="00972754" w:rsidP="00972754">
      <w:r w:rsidRPr="00972754">
        <w:t>Let's consider some of the tools and advice available to public service agencies to help them tackle AI and what this means for us as users of AI tools.  We'll start with governance.</w:t>
      </w:r>
      <w:r>
        <w:t>”</w:t>
      </w:r>
    </w:p>
    <w:p w14:paraId="7286E2A6" w14:textId="77777777" w:rsidR="00972754" w:rsidRDefault="00972754" w:rsidP="00972754"/>
    <w:p w14:paraId="3BC2768E" w14:textId="77777777" w:rsidR="00972754" w:rsidRDefault="00972754" w:rsidP="00972754">
      <w:pPr>
        <w:pStyle w:val="Heading2"/>
      </w:pPr>
      <w:r w:rsidRPr="00972754">
        <w:t>AI Governance</w:t>
      </w:r>
    </w:p>
    <w:p w14:paraId="086D0FA4" w14:textId="77777777" w:rsidR="00972754" w:rsidRPr="00972754" w:rsidRDefault="00972754" w:rsidP="00972754">
      <w:r w:rsidRPr="00972754">
        <w:t>AI governance is how we apply the 5 key principles within an agency. AI Governance has multiple building blocks:</w:t>
      </w:r>
    </w:p>
    <w:p w14:paraId="3449C055" w14:textId="77777777" w:rsidR="00972754" w:rsidRPr="00972754" w:rsidRDefault="00972754" w:rsidP="00972754">
      <w:pPr>
        <w:pStyle w:val="ListParagraph"/>
        <w:numPr>
          <w:ilvl w:val="0"/>
          <w:numId w:val="2"/>
        </w:numPr>
      </w:pPr>
      <w:r w:rsidRPr="00972754">
        <w:t>AI Policy &amp; Principles</w:t>
      </w:r>
    </w:p>
    <w:p w14:paraId="20A75119" w14:textId="77777777" w:rsidR="00972754" w:rsidRPr="00972754" w:rsidRDefault="00972754" w:rsidP="00972754">
      <w:pPr>
        <w:pStyle w:val="ListParagraph"/>
        <w:numPr>
          <w:ilvl w:val="0"/>
          <w:numId w:val="2"/>
        </w:numPr>
      </w:pPr>
      <w:r w:rsidRPr="00972754">
        <w:t>People &amp; Skills</w:t>
      </w:r>
    </w:p>
    <w:p w14:paraId="4ADED699" w14:textId="77777777" w:rsidR="00972754" w:rsidRPr="00972754" w:rsidRDefault="00972754" w:rsidP="00972754">
      <w:pPr>
        <w:pStyle w:val="ListParagraph"/>
        <w:numPr>
          <w:ilvl w:val="0"/>
          <w:numId w:val="2"/>
        </w:numPr>
      </w:pPr>
      <w:r w:rsidRPr="00972754">
        <w:t>Organisational Structure</w:t>
      </w:r>
    </w:p>
    <w:p w14:paraId="568AD977" w14:textId="77777777" w:rsidR="00972754" w:rsidRPr="00972754" w:rsidRDefault="00972754" w:rsidP="00972754">
      <w:pPr>
        <w:pStyle w:val="ListParagraph"/>
        <w:numPr>
          <w:ilvl w:val="0"/>
          <w:numId w:val="2"/>
        </w:numPr>
      </w:pPr>
      <w:r w:rsidRPr="00972754">
        <w:t>Monitoring, Reporting &amp; Evaluation</w:t>
      </w:r>
    </w:p>
    <w:p w14:paraId="4AB00980" w14:textId="77777777" w:rsidR="00972754" w:rsidRDefault="00972754" w:rsidP="00972754">
      <w:pPr>
        <w:pStyle w:val="ListParagraph"/>
        <w:numPr>
          <w:ilvl w:val="0"/>
          <w:numId w:val="2"/>
        </w:numPr>
      </w:pPr>
      <w:r w:rsidRPr="00972754">
        <w:t>Procedures &amp; Controls</w:t>
      </w:r>
    </w:p>
    <w:p w14:paraId="292711FD" w14:textId="77777777" w:rsidR="00972754" w:rsidRDefault="00972754" w:rsidP="00972754">
      <w:pPr>
        <w:pStyle w:val="ListParagraph"/>
      </w:pPr>
    </w:p>
    <w:p w14:paraId="0DBD2A39" w14:textId="77777777" w:rsidR="00972754" w:rsidRPr="00972754" w:rsidRDefault="00972754" w:rsidP="00972754">
      <w:pPr>
        <w:rPr>
          <w:lang w:eastAsia="en-NZ"/>
        </w:rPr>
      </w:pPr>
      <w:r w:rsidRPr="00972754">
        <w:rPr>
          <w:lang w:eastAsia="en-NZ"/>
        </w:rPr>
        <w:t>Your agency may have its own AI governance in place or be in the process of establishing this.  It is important that you are familiar with your agency’s AI governance policies, processes and structures.</w:t>
      </w:r>
    </w:p>
    <w:p w14:paraId="2D098774" w14:textId="77777777" w:rsidR="00972754" w:rsidRPr="00972754" w:rsidRDefault="00972754" w:rsidP="00972754">
      <w:pPr>
        <w:rPr>
          <w:lang w:eastAsia="en-NZ"/>
        </w:rPr>
      </w:pPr>
      <w:r w:rsidRPr="00972754">
        <w:rPr>
          <w:lang w:eastAsia="en-NZ"/>
        </w:rPr>
        <w:t>These governance building blocks matter for everyone, whether you use AI tools daily or are responsible for evaluating and deploying AI across your agency. As AI tools gain agentic capabilities governance becomes more important, not less.</w:t>
      </w:r>
    </w:p>
    <w:p w14:paraId="7FBB220A" w14:textId="77777777" w:rsidR="00972754" w:rsidRDefault="00972754" w:rsidP="00972754"/>
    <w:p w14:paraId="3517F341" w14:textId="77777777" w:rsidR="00972754" w:rsidRPr="00972754" w:rsidRDefault="00972754" w:rsidP="00972754">
      <w:pPr>
        <w:pStyle w:val="Heading2"/>
      </w:pPr>
      <w:r w:rsidRPr="00972754">
        <w:t>How do AI governance building blocks keep us safe?</w:t>
      </w:r>
    </w:p>
    <w:p w14:paraId="1A766440" w14:textId="77777777" w:rsidR="00972754" w:rsidRPr="00972754" w:rsidRDefault="00972754" w:rsidP="00972754">
      <w:r w:rsidRPr="00972754">
        <w:t>Let's think about AI as a vehicle.  Below are some of the ways that AI governance keeps our AI vehicle safe as we are using it.</w:t>
      </w:r>
    </w:p>
    <w:p w14:paraId="58C36A14" w14:textId="0154B3CF" w:rsidR="00972754" w:rsidRPr="00972754" w:rsidRDefault="00972754" w:rsidP="00972754">
      <w:pPr>
        <w:pStyle w:val="Heading3"/>
      </w:pPr>
      <w:r>
        <w:t>AI Policy and Principles</w:t>
      </w:r>
    </w:p>
    <w:p w14:paraId="72369EAA" w14:textId="77777777" w:rsidR="00972754" w:rsidRPr="00972754" w:rsidRDefault="00972754" w:rsidP="00972754">
      <w:r w:rsidRPr="00972754">
        <w:t>An AI Policy steered by identified principles and risk appetite is used to define the ethical objectives guiding the development, deployment and procurement of AI systems.</w:t>
      </w:r>
    </w:p>
    <w:p w14:paraId="3471E0C9" w14:textId="77777777" w:rsidR="00972754" w:rsidRDefault="00972754" w:rsidP="00972754">
      <w:pPr>
        <w:rPr>
          <w:b/>
          <w:bCs/>
        </w:rPr>
      </w:pPr>
      <w:r w:rsidRPr="00972754">
        <w:rPr>
          <w:b/>
          <w:bCs/>
        </w:rPr>
        <w:t>Clear driving instructions help the driver understand how to operate the vehicle.</w:t>
      </w:r>
    </w:p>
    <w:p w14:paraId="26AE3046" w14:textId="332520E3" w:rsidR="00972754" w:rsidRDefault="00972754" w:rsidP="00972754">
      <w:pPr>
        <w:pStyle w:val="Heading3"/>
      </w:pPr>
      <w:r>
        <w:t>People, skills and technology</w:t>
      </w:r>
    </w:p>
    <w:p w14:paraId="64CB04FE" w14:textId="77777777" w:rsidR="00972754" w:rsidRPr="00972754" w:rsidRDefault="00972754" w:rsidP="00972754">
      <w:r w:rsidRPr="00972754">
        <w:t>People with the right skills need to be allocated and/or trained to safely execute against AI ambition – powered with a responsible technical architecture on which to make this happen.</w:t>
      </w:r>
    </w:p>
    <w:p w14:paraId="5B8B60E2" w14:textId="77777777" w:rsidR="00972754" w:rsidRDefault="00972754" w:rsidP="00972754">
      <w:pPr>
        <w:rPr>
          <w:b/>
          <w:bCs/>
        </w:rPr>
      </w:pPr>
      <w:r w:rsidRPr="00972754">
        <w:rPr>
          <w:b/>
          <w:bCs/>
        </w:rPr>
        <w:lastRenderedPageBreak/>
        <w:t>The driver needs to have the right skills and experience before getting behind the wheel.</w:t>
      </w:r>
    </w:p>
    <w:p w14:paraId="63E35199" w14:textId="1DD341AF" w:rsidR="00972754" w:rsidRDefault="00972754" w:rsidP="00972754">
      <w:pPr>
        <w:pStyle w:val="Heading3"/>
      </w:pPr>
      <w:r>
        <w:t>Organisational structure</w:t>
      </w:r>
    </w:p>
    <w:p w14:paraId="2A44163F" w14:textId="77777777" w:rsidR="00972754" w:rsidRPr="00972754" w:rsidRDefault="00972754" w:rsidP="00972754">
      <w:r w:rsidRPr="00972754">
        <w:t>The operating model for AI needs to be clearly defined – including deciding who makes what decision, and who is involved where in the AI lifecycle.</w:t>
      </w:r>
    </w:p>
    <w:p w14:paraId="11164548" w14:textId="77777777" w:rsidR="00972754" w:rsidRDefault="00972754" w:rsidP="00972754">
      <w:pPr>
        <w:rPr>
          <w:b/>
          <w:bCs/>
        </w:rPr>
      </w:pPr>
      <w:r w:rsidRPr="00972754">
        <w:rPr>
          <w:b/>
          <w:bCs/>
        </w:rPr>
        <w:t>It is helpful to decide before turning on the engine who will drive, who will navigate, and who can make the call to stop the car.</w:t>
      </w:r>
    </w:p>
    <w:p w14:paraId="6CA881DD" w14:textId="68CC5149" w:rsidR="00972754" w:rsidRDefault="00972754" w:rsidP="00972754">
      <w:pPr>
        <w:pStyle w:val="Heading3"/>
      </w:pPr>
      <w:r>
        <w:t>Monitoring, reporting and evaluation</w:t>
      </w:r>
    </w:p>
    <w:p w14:paraId="5DB007CE" w14:textId="77777777" w:rsidR="00972754" w:rsidRPr="00972754" w:rsidRDefault="00972754" w:rsidP="00972754">
      <w:r w:rsidRPr="00972754">
        <w:t>A thorough monitoring system is needed to evaluate the health, performance and compliance of AI systems, and review AI governance effectiveness ongoing.</w:t>
      </w:r>
    </w:p>
    <w:p w14:paraId="45284AB8" w14:textId="77777777" w:rsidR="00972754" w:rsidRPr="00972754" w:rsidRDefault="00972754" w:rsidP="00972754">
      <w:r w:rsidRPr="00972754">
        <w:t>As AI tools gain agentic capabilities, traditional periodic audits may not be sufficient. Agencies may need more continuous monitoring of agent behaviour, including tracking decision patterns and flagging anomalies in real time.</w:t>
      </w:r>
    </w:p>
    <w:p w14:paraId="35C7605E" w14:textId="77777777" w:rsidR="00972754" w:rsidRPr="00972754" w:rsidRDefault="00972754" w:rsidP="00972754">
      <w:r w:rsidRPr="00972754">
        <w:rPr>
          <w:b/>
          <w:bCs/>
        </w:rPr>
        <w:t>It is important to keep checking the speedometer and keep an eye out for the check engine light.</w:t>
      </w:r>
    </w:p>
    <w:p w14:paraId="0CE79416" w14:textId="03AFC525" w:rsidR="00972754" w:rsidRDefault="00972754" w:rsidP="00972754">
      <w:pPr>
        <w:pStyle w:val="Heading3"/>
      </w:pPr>
      <w:r>
        <w:t>Procedures and control</w:t>
      </w:r>
    </w:p>
    <w:p w14:paraId="179D0BEE" w14:textId="77777777" w:rsidR="00972754" w:rsidRPr="00972754" w:rsidRDefault="00972754" w:rsidP="00972754">
      <w:r w:rsidRPr="00972754">
        <w:t>An AI Risk Management Framework is used to map, measure and manage risks throughout the AI lifecycle – e.g., initial impact assessment, ongoing risk and controls assessment. For agentic AI, this extends to agent lifecycle management: tracking which agents are deployed, what access they have, reviewing them regularly, and decommissioning agents when they are no longer needed.</w:t>
      </w:r>
    </w:p>
    <w:p w14:paraId="7EDF701D" w14:textId="77777777" w:rsidR="00972754" w:rsidRDefault="00972754" w:rsidP="00972754">
      <w:pPr>
        <w:rPr>
          <w:b/>
          <w:bCs/>
        </w:rPr>
      </w:pPr>
      <w:r w:rsidRPr="00972754">
        <w:rPr>
          <w:b/>
          <w:bCs/>
        </w:rPr>
        <w:t>It is important to evaluate risks at the right part of the trip – check tire pressure before departing, keep an eye on traffic throughout.</w:t>
      </w:r>
    </w:p>
    <w:p w14:paraId="0CAA3B46" w14:textId="77777777" w:rsidR="00972754" w:rsidRPr="00972754" w:rsidRDefault="00972754" w:rsidP="00972754"/>
    <w:p w14:paraId="4B879711" w14:textId="77777777" w:rsidR="00972754" w:rsidRPr="00972754" w:rsidRDefault="00972754" w:rsidP="00972754">
      <w:pPr>
        <w:pStyle w:val="Heading2"/>
      </w:pPr>
      <w:r w:rsidRPr="00972754">
        <w:t>More information about our obligations and guidelines</w:t>
      </w:r>
    </w:p>
    <w:p w14:paraId="2BBB32A1" w14:textId="77777777" w:rsidR="00972754" w:rsidRDefault="00972754" w:rsidP="00972754">
      <w:r w:rsidRPr="00972754">
        <w:t xml:space="preserve">More information about the obligations and guidelines that we should keep in mind are on the </w:t>
      </w:r>
      <w:hyperlink r:id="rId8" w:tgtFrame="_blank" w:history="1">
        <w:r w:rsidRPr="00972754">
          <w:rPr>
            <w:rStyle w:val="Hyperlink"/>
          </w:rPr>
          <w:t>digital.govt.nz</w:t>
        </w:r>
      </w:hyperlink>
      <w:r w:rsidRPr="00972754">
        <w:t> website.</w:t>
      </w:r>
    </w:p>
    <w:p w14:paraId="06A30817" w14:textId="77777777" w:rsidR="00972754" w:rsidRDefault="00972754" w:rsidP="00972754"/>
    <w:p w14:paraId="7E8BBC3C" w14:textId="77777777" w:rsidR="00972754" w:rsidRPr="00972754" w:rsidRDefault="00972754" w:rsidP="00972754">
      <w:pPr>
        <w:pStyle w:val="Heading2"/>
      </w:pPr>
      <w:r w:rsidRPr="00972754">
        <w:t>Your agency's AI Policy</w:t>
      </w:r>
    </w:p>
    <w:p w14:paraId="00E56388" w14:textId="77777777" w:rsidR="00972754" w:rsidRPr="00972754" w:rsidRDefault="00972754" w:rsidP="00972754">
      <w:r w:rsidRPr="00972754">
        <w:t xml:space="preserve">The Government Digital Delivery Agency (GDDA) has published a Use of AI policy template as part of its AI Toolkit on the </w:t>
      </w:r>
      <w:hyperlink r:id="rId9" w:tgtFrame="_blank" w:history="1">
        <w:r w:rsidRPr="00972754">
          <w:rPr>
            <w:rStyle w:val="Hyperlink"/>
          </w:rPr>
          <w:t>digital.govt.nz</w:t>
        </w:r>
      </w:hyperlink>
      <w:r w:rsidRPr="00972754">
        <w:t xml:space="preserve"> website. The template is designed as a starting point for agencies developing their own AI policies. Your agency may </w:t>
      </w:r>
      <w:r w:rsidRPr="00972754">
        <w:lastRenderedPageBreak/>
        <w:t>already have a policy. The details will vary across agencies, because each operates in a different context with a different risk profile.</w:t>
      </w:r>
    </w:p>
    <w:p w14:paraId="7B280835" w14:textId="77777777" w:rsidR="00972754" w:rsidRPr="00972754" w:rsidRDefault="00972754" w:rsidP="00972754">
      <w:r w:rsidRPr="00972754">
        <w:t xml:space="preserve">The template addresses </w:t>
      </w:r>
      <w:proofErr w:type="gramStart"/>
      <w:r w:rsidRPr="00972754">
        <w:t>a number of</w:t>
      </w:r>
      <w:proofErr w:type="gramEnd"/>
      <w:r w:rsidRPr="00972754">
        <w:t xml:space="preserve"> areas. Your agency’s policy may cover these differently or include additional requirements specific to your context.</w:t>
      </w:r>
    </w:p>
    <w:p w14:paraId="4DABDF0C" w14:textId="63411EA0" w:rsidR="00972754" w:rsidRPr="00972754" w:rsidRDefault="00972754" w:rsidP="00972754">
      <w:pPr>
        <w:numPr>
          <w:ilvl w:val="0"/>
          <w:numId w:val="3"/>
        </w:numPr>
        <w:rPr>
          <w:b/>
          <w:bCs/>
        </w:rPr>
      </w:pPr>
      <w:r w:rsidRPr="00972754">
        <w:rPr>
          <w:b/>
          <w:bCs/>
        </w:rPr>
        <w:t>Approved tools. </w:t>
      </w:r>
      <w:r w:rsidRPr="00972754">
        <w:t>The template states agencies must only use approved enterprise AI tools. New use cases must be risk assessed in line with the agency’s own AI adoption principles.</w:t>
      </w:r>
    </w:p>
    <w:p w14:paraId="5E68E6A3" w14:textId="01C73089" w:rsidR="00972754" w:rsidRPr="00972754" w:rsidRDefault="00972754" w:rsidP="00972754">
      <w:pPr>
        <w:pStyle w:val="ListParagraph"/>
        <w:numPr>
          <w:ilvl w:val="0"/>
          <w:numId w:val="3"/>
        </w:numPr>
        <w:rPr>
          <w:b/>
          <w:bCs/>
        </w:rPr>
      </w:pPr>
      <w:r w:rsidRPr="00972754">
        <w:rPr>
          <w:b/>
          <w:bCs/>
        </w:rPr>
        <w:t>Personal information. </w:t>
      </w:r>
      <w:r w:rsidRPr="00972754">
        <w:t>Customer personal information collected by an agency must not be entered into enterprise AI tools unless specific controls are in place to protect that information.</w:t>
      </w:r>
    </w:p>
    <w:p w14:paraId="2BC731D6" w14:textId="0CD73ADC" w:rsidR="00972754" w:rsidRPr="00972754" w:rsidRDefault="00972754" w:rsidP="00972754">
      <w:pPr>
        <w:pStyle w:val="ListParagraph"/>
        <w:numPr>
          <w:ilvl w:val="0"/>
          <w:numId w:val="3"/>
        </w:numPr>
        <w:rPr>
          <w:b/>
          <w:bCs/>
        </w:rPr>
      </w:pPr>
      <w:r w:rsidRPr="00972754">
        <w:rPr>
          <w:b/>
          <w:bCs/>
        </w:rPr>
        <w:t>Review of AI output. </w:t>
      </w:r>
      <w:r w:rsidRPr="00972754">
        <w:t>Any output of enterprise AI must be reviewed and approved by staff with appropriate authority and capability at every stage. AI tools are intended to support and enhance staff work, not replace human contributions.</w:t>
      </w:r>
    </w:p>
    <w:p w14:paraId="23227B37" w14:textId="73C2A090" w:rsidR="00972754" w:rsidRPr="00972754" w:rsidRDefault="00972754" w:rsidP="00972754">
      <w:pPr>
        <w:pStyle w:val="ListParagraph"/>
        <w:numPr>
          <w:ilvl w:val="0"/>
          <w:numId w:val="3"/>
        </w:numPr>
        <w:rPr>
          <w:b/>
          <w:bCs/>
        </w:rPr>
      </w:pPr>
      <w:r w:rsidRPr="00972754">
        <w:rPr>
          <w:b/>
          <w:bCs/>
        </w:rPr>
        <w:t xml:space="preserve">Labelling. </w:t>
      </w:r>
      <w:r w:rsidRPr="00972754">
        <w:t>Where enterprise AI has been used materially, products must be labelled as having had AI input. This supports transparency for everyone who relies on that material.</w:t>
      </w:r>
    </w:p>
    <w:p w14:paraId="62358290" w14:textId="5566E528" w:rsidR="00972754" w:rsidRPr="00972754" w:rsidRDefault="00972754" w:rsidP="00972754">
      <w:pPr>
        <w:pStyle w:val="ListParagraph"/>
        <w:numPr>
          <w:ilvl w:val="0"/>
          <w:numId w:val="3"/>
        </w:numPr>
        <w:rPr>
          <w:b/>
          <w:bCs/>
        </w:rPr>
      </w:pPr>
      <w:r w:rsidRPr="00972754">
        <w:rPr>
          <w:b/>
          <w:bCs/>
        </w:rPr>
        <w:t>Official information. </w:t>
      </w:r>
      <w:r w:rsidRPr="00972754">
        <w:t xml:space="preserve">Outputs of AI generated </w:t>
      </w:r>
      <w:proofErr w:type="gramStart"/>
      <w:r w:rsidRPr="00972754">
        <w:t>in the course of</w:t>
      </w:r>
      <w:proofErr w:type="gramEnd"/>
      <w:r w:rsidRPr="00972754">
        <w:t xml:space="preserve"> an agency’s work are official information and need to be managed under the agency’s information management policy.</w:t>
      </w:r>
    </w:p>
    <w:p w14:paraId="39DEC6B9" w14:textId="77777777" w:rsidR="00972754" w:rsidRPr="00972754" w:rsidRDefault="00972754" w:rsidP="00972754">
      <w:pPr>
        <w:pStyle w:val="ListParagraph"/>
        <w:numPr>
          <w:ilvl w:val="0"/>
          <w:numId w:val="3"/>
        </w:numPr>
        <w:rPr>
          <w:b/>
          <w:bCs/>
        </w:rPr>
      </w:pPr>
      <w:r w:rsidRPr="00972754">
        <w:rPr>
          <w:b/>
          <w:bCs/>
        </w:rPr>
        <w:t>Decision-making. </w:t>
      </w:r>
      <w:r w:rsidRPr="00972754">
        <w:t>Enterprise AI tools should not play a significant role in decisions that might negatively affect an individual, including responding to requests or complaints, evaluating applications for services or documents, or any other situation where judgement is used. The template is clear that final decision-making processes must have a human in the loop.</w:t>
      </w:r>
    </w:p>
    <w:p w14:paraId="34342444" w14:textId="77777777" w:rsidR="00972754" w:rsidRPr="00972754" w:rsidRDefault="00972754" w:rsidP="00972754">
      <w:pPr>
        <w:pStyle w:val="ListParagraph"/>
        <w:rPr>
          <w:b/>
          <w:bCs/>
        </w:rPr>
      </w:pPr>
    </w:p>
    <w:p w14:paraId="059F28D4" w14:textId="77777777" w:rsidR="00972754" w:rsidRPr="00972754" w:rsidRDefault="00972754" w:rsidP="00972754">
      <w:pPr>
        <w:rPr>
          <w:b/>
          <w:bCs/>
          <w:lang w:eastAsia="en-NZ"/>
        </w:rPr>
      </w:pPr>
      <w:r w:rsidRPr="00972754">
        <w:rPr>
          <w:b/>
          <w:bCs/>
          <w:lang w:eastAsia="en-NZ"/>
        </w:rPr>
        <w:t>Check your own agency’s policy for the specifics that apply to you.</w:t>
      </w:r>
    </w:p>
    <w:p w14:paraId="4BDD5B02" w14:textId="77777777" w:rsidR="00972754" w:rsidRPr="00972754" w:rsidRDefault="00972754" w:rsidP="00972754">
      <w:pPr>
        <w:rPr>
          <w:b/>
          <w:bCs/>
        </w:rPr>
      </w:pPr>
    </w:p>
    <w:p w14:paraId="5DE7D347" w14:textId="77777777" w:rsidR="00972754" w:rsidRPr="00972754" w:rsidRDefault="00972754" w:rsidP="00972754"/>
    <w:p w14:paraId="4C4EA6D5" w14:textId="77777777" w:rsidR="00972754" w:rsidRPr="00972754" w:rsidRDefault="00972754" w:rsidP="00972754"/>
    <w:p w14:paraId="20FF5D9A" w14:textId="77777777" w:rsidR="00972754" w:rsidRPr="00972754" w:rsidRDefault="00972754" w:rsidP="00972754"/>
    <w:p w14:paraId="5DD12AED" w14:textId="77777777" w:rsidR="00972754" w:rsidRPr="00972754" w:rsidRDefault="00972754" w:rsidP="00972754"/>
    <w:p w14:paraId="74F4D044" w14:textId="77777777" w:rsidR="00972754" w:rsidRPr="00972754" w:rsidRDefault="00972754" w:rsidP="00972754"/>
    <w:p w14:paraId="343D91E9" w14:textId="77777777" w:rsidR="00972754" w:rsidRPr="00972754" w:rsidRDefault="00972754" w:rsidP="00972754"/>
    <w:p w14:paraId="02B0FD81" w14:textId="14E9E945" w:rsidR="00972754" w:rsidRPr="00972754" w:rsidRDefault="00972754" w:rsidP="00972754"/>
    <w:p w14:paraId="31A266EC" w14:textId="77777777" w:rsidR="00972754" w:rsidRPr="00972754" w:rsidRDefault="00972754" w:rsidP="00972754"/>
    <w:p w14:paraId="25312DAD" w14:textId="77777777" w:rsidR="00972754" w:rsidRPr="00972754" w:rsidRDefault="00972754" w:rsidP="00972754"/>
    <w:p w14:paraId="3316A81C" w14:textId="77777777" w:rsidR="00972754" w:rsidRPr="00972754" w:rsidRDefault="00972754" w:rsidP="00972754"/>
    <w:p w14:paraId="3764D223" w14:textId="7746A80C" w:rsidR="00972754" w:rsidRPr="00972754" w:rsidRDefault="00972754" w:rsidP="00972754"/>
    <w:p w14:paraId="6B1D5FAB" w14:textId="77777777" w:rsidR="00F3165E" w:rsidRDefault="00F3165E"/>
    <w:sectPr w:rsidR="00F31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8E"/>
    <w:multiLevelType w:val="hybridMultilevel"/>
    <w:tmpl w:val="F7EEE6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B9C0215"/>
    <w:multiLevelType w:val="multilevel"/>
    <w:tmpl w:val="1028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A4A72"/>
    <w:multiLevelType w:val="hybridMultilevel"/>
    <w:tmpl w:val="9D9A91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22023755">
    <w:abstractNumId w:val="0"/>
  </w:num>
  <w:num w:numId="2" w16cid:durableId="1698773825">
    <w:abstractNumId w:val="2"/>
  </w:num>
  <w:num w:numId="3" w16cid:durableId="3107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54"/>
    <w:rsid w:val="002F564C"/>
    <w:rsid w:val="00301411"/>
    <w:rsid w:val="00480824"/>
    <w:rsid w:val="00972754"/>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D315"/>
  <w15:chartTrackingRefBased/>
  <w15:docId w15:val="{69012E2F-51B0-470A-886C-B04707E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754"/>
    <w:rPr>
      <w:rFonts w:eastAsiaTheme="majorEastAsia" w:cstheme="majorBidi"/>
      <w:color w:val="272727" w:themeColor="text1" w:themeTint="D8"/>
    </w:rPr>
  </w:style>
  <w:style w:type="paragraph" w:styleId="Title">
    <w:name w:val="Title"/>
    <w:basedOn w:val="Normal"/>
    <w:next w:val="Normal"/>
    <w:link w:val="TitleChar"/>
    <w:uiPriority w:val="10"/>
    <w:qFormat/>
    <w:rsid w:val="00972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754"/>
    <w:pPr>
      <w:spacing w:before="160"/>
      <w:jc w:val="center"/>
    </w:pPr>
    <w:rPr>
      <w:i/>
      <w:iCs/>
      <w:color w:val="404040" w:themeColor="text1" w:themeTint="BF"/>
    </w:rPr>
  </w:style>
  <w:style w:type="character" w:customStyle="1" w:styleId="QuoteChar">
    <w:name w:val="Quote Char"/>
    <w:basedOn w:val="DefaultParagraphFont"/>
    <w:link w:val="Quote"/>
    <w:uiPriority w:val="29"/>
    <w:rsid w:val="00972754"/>
    <w:rPr>
      <w:i/>
      <w:iCs/>
      <w:color w:val="404040" w:themeColor="text1" w:themeTint="BF"/>
    </w:rPr>
  </w:style>
  <w:style w:type="paragraph" w:styleId="ListParagraph">
    <w:name w:val="List Paragraph"/>
    <w:basedOn w:val="Normal"/>
    <w:uiPriority w:val="34"/>
    <w:qFormat/>
    <w:rsid w:val="00972754"/>
    <w:pPr>
      <w:ind w:left="720"/>
      <w:contextualSpacing/>
    </w:pPr>
  </w:style>
  <w:style w:type="character" w:styleId="IntenseEmphasis">
    <w:name w:val="Intense Emphasis"/>
    <w:basedOn w:val="DefaultParagraphFont"/>
    <w:uiPriority w:val="21"/>
    <w:qFormat/>
    <w:rsid w:val="00972754"/>
    <w:rPr>
      <w:i/>
      <w:iCs/>
      <w:color w:val="0F4761" w:themeColor="accent1" w:themeShade="BF"/>
    </w:rPr>
  </w:style>
  <w:style w:type="paragraph" w:styleId="IntenseQuote">
    <w:name w:val="Intense Quote"/>
    <w:basedOn w:val="Normal"/>
    <w:next w:val="Normal"/>
    <w:link w:val="IntenseQuoteChar"/>
    <w:uiPriority w:val="30"/>
    <w:qFormat/>
    <w:rsid w:val="00972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754"/>
    <w:rPr>
      <w:i/>
      <w:iCs/>
      <w:color w:val="0F4761" w:themeColor="accent1" w:themeShade="BF"/>
    </w:rPr>
  </w:style>
  <w:style w:type="character" w:styleId="IntenseReference">
    <w:name w:val="Intense Reference"/>
    <w:basedOn w:val="DefaultParagraphFont"/>
    <w:uiPriority w:val="32"/>
    <w:qFormat/>
    <w:rsid w:val="00972754"/>
    <w:rPr>
      <w:b/>
      <w:bCs/>
      <w:smallCaps/>
      <w:color w:val="0F4761" w:themeColor="accent1" w:themeShade="BF"/>
      <w:spacing w:val="5"/>
    </w:rPr>
  </w:style>
  <w:style w:type="paragraph" w:styleId="NormalWeb">
    <w:name w:val="Normal (Web)"/>
    <w:basedOn w:val="Normal"/>
    <w:uiPriority w:val="99"/>
    <w:semiHidden/>
    <w:unhideWhenUsed/>
    <w:rsid w:val="00972754"/>
    <w:rPr>
      <w:rFonts w:ascii="Times New Roman" w:hAnsi="Times New Roman" w:cs="Times New Roman"/>
    </w:rPr>
  </w:style>
  <w:style w:type="character" w:styleId="Hyperlink">
    <w:name w:val="Hyperlink"/>
    <w:basedOn w:val="DefaultParagraphFont"/>
    <w:uiPriority w:val="99"/>
    <w:unhideWhenUsed/>
    <w:rsid w:val="00972754"/>
    <w:rPr>
      <w:color w:val="467886" w:themeColor="hyperlink"/>
      <w:u w:val="single"/>
    </w:rPr>
  </w:style>
  <w:style w:type="character" w:styleId="UnresolvedMention">
    <w:name w:val="Unresolved Mention"/>
    <w:basedOn w:val="DefaultParagraphFont"/>
    <w:uiPriority w:val="99"/>
    <w:semiHidden/>
    <w:unhideWhenUsed/>
    <w:rsid w:val="00972754"/>
    <w:rPr>
      <w:color w:val="605E5C"/>
      <w:shd w:val="clear" w:color="auto" w:fill="E1DFDD"/>
    </w:rPr>
  </w:style>
  <w:style w:type="character" w:styleId="Strong">
    <w:name w:val="Strong"/>
    <w:basedOn w:val="DefaultParagraphFont"/>
    <w:uiPriority w:val="22"/>
    <w:qFormat/>
    <w:rsid w:val="00972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Govt.NZ"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igital.govt.nz"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TKMLDC-1899142907-306913</_dlc_DocId>
    <_dlc_DocIdUrl xmlns="26365202-4b37-46f6-8f4a-657aef1497de">
      <Url>https://sscnz.sharepoint.com/sites/LDC/_layouts/15/DocIdRedir.aspx?ID=TKMLDC-1899142907-306913</Url>
      <Description>TKMLDC-1899142907-306913</Description>
    </_dlc_DocIdUrl>
  </documentManagement>
</p:properties>
</file>

<file path=customXml/itemProps1.xml><?xml version="1.0" encoding="utf-8"?>
<ds:datastoreItem xmlns:ds="http://schemas.openxmlformats.org/officeDocument/2006/customXml" ds:itemID="{142542AC-1A2C-4241-B05D-0DA5FA4759F8}"/>
</file>

<file path=customXml/itemProps2.xml><?xml version="1.0" encoding="utf-8"?>
<ds:datastoreItem xmlns:ds="http://schemas.openxmlformats.org/officeDocument/2006/customXml" ds:itemID="{63C7E0A0-4CF7-4FC2-A517-F55C6E1D45B6}"/>
</file>

<file path=customXml/itemProps3.xml><?xml version="1.0" encoding="utf-8"?>
<ds:datastoreItem xmlns:ds="http://schemas.openxmlformats.org/officeDocument/2006/customXml" ds:itemID="{2A7F7DEA-9A55-497F-ABDC-BECDA3AC366E}"/>
</file>

<file path=customXml/itemProps4.xml><?xml version="1.0" encoding="utf-8"?>
<ds:datastoreItem xmlns:ds="http://schemas.openxmlformats.org/officeDocument/2006/customXml" ds:itemID="{3BA987A0-7A71-4554-91F6-308BD4DAFB2E}"/>
</file>

<file path=docProps/app.xml><?xml version="1.0" encoding="utf-8"?>
<Properties xmlns="http://schemas.openxmlformats.org/officeDocument/2006/extended-properties" xmlns:vt="http://schemas.openxmlformats.org/officeDocument/2006/docPropsVTypes">
  <Template>Normal</Template>
  <TotalTime>8</TotalTime>
  <Pages>5</Pages>
  <Words>1051</Words>
  <Characters>5576</Characters>
  <Application>Microsoft Office Word</Application>
  <DocSecurity>0</DocSecurity>
  <Lines>111</Lines>
  <Paragraphs>65</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1</cp:revision>
  <dcterms:created xsi:type="dcterms:W3CDTF">2026-05-04T21:17:00Z</dcterms:created>
  <dcterms:modified xsi:type="dcterms:W3CDTF">2026-05-04T21:25:00Z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c54bf5c5-7a76-44dd-b010-f6b51a520b36</vt:lpwstr>
  </property>
</Properties>
</file>