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8DDC" w14:textId="4A925294" w:rsidR="00F3165E" w:rsidRDefault="008F500D">
      <w:pPr>
        <w:rPr>
          <w:rStyle w:val="Heading1Char"/>
        </w:rPr>
      </w:pPr>
      <w:r>
        <w:rPr>
          <w:rStyle w:val="Heading1Char"/>
        </w:rPr>
        <w:t>Introd</w:t>
      </w:r>
      <w:r w:rsidRPr="008F500D">
        <w:rPr>
          <w:rStyle w:val="Heading1Char"/>
        </w:rPr>
        <w:t>uction to Safe and Responsible AI</w:t>
      </w:r>
    </w:p>
    <w:p w14:paraId="211325FA" w14:textId="089598C1" w:rsidR="008F500D" w:rsidRDefault="008F500D" w:rsidP="008F500D">
      <w:pPr>
        <w:rPr>
          <w:b/>
          <w:bCs/>
        </w:rPr>
      </w:pPr>
    </w:p>
    <w:p w14:paraId="3F74D4D5" w14:textId="61309D65" w:rsidR="008F500D" w:rsidRPr="008F500D" w:rsidRDefault="008F500D" w:rsidP="008F500D">
      <w:r>
        <w:rPr>
          <w:b/>
          <w:bCs/>
          <w:noProof/>
        </w:rPr>
        <w:drawing>
          <wp:anchor distT="0" distB="0" distL="114300" distR="114300" simplePos="0" relativeHeight="251658240" behindDoc="1" locked="0" layoutInCell="1" allowOverlap="1" wp14:anchorId="3C7968AC" wp14:editId="124D7E73">
            <wp:simplePos x="0" y="0"/>
            <wp:positionH relativeFrom="margin">
              <wp:align>left</wp:align>
            </wp:positionH>
            <wp:positionV relativeFrom="paragraph">
              <wp:posOffset>9279</wp:posOffset>
            </wp:positionV>
            <wp:extent cx="1859280" cy="2531110"/>
            <wp:effectExtent l="0" t="0" r="7620" b="2540"/>
            <wp:wrapTight wrapText="bothSides">
              <wp:wrapPolygon edited="0">
                <wp:start x="0" y="0"/>
                <wp:lineTo x="0" y="21459"/>
                <wp:lineTo x="21467" y="21459"/>
                <wp:lineTo x="21467" y="0"/>
                <wp:lineTo x="0" y="0"/>
              </wp:wrapPolygon>
            </wp:wrapTight>
            <wp:docPr id="906289900" name="Picture 1" descr="Illustration of a standing man with arms crossed, wearing a green cardigan over a light blue button-up shirt and gray pants. The face is blurred, focusing attention on the casual outfit and postu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89900" name="Picture 1" descr="Illustration of a standing man with arms crossed, wearing a green cardigan over a light blue button-up shirt and gray pants. The face is blurred, focusing attention on the casual outfit and posture.&#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280" cy="2531110"/>
                    </a:xfrm>
                    <a:prstGeom prst="rect">
                      <a:avLst/>
                    </a:prstGeom>
                  </pic:spPr>
                </pic:pic>
              </a:graphicData>
            </a:graphic>
            <wp14:sizeRelH relativeFrom="page">
              <wp14:pctWidth>0</wp14:pctWidth>
            </wp14:sizeRelH>
            <wp14:sizeRelV relativeFrom="page">
              <wp14:pctHeight>0</wp14:pctHeight>
            </wp14:sizeRelV>
          </wp:anchor>
        </w:drawing>
      </w:r>
      <w:r w:rsidRPr="008F500D">
        <w:rPr>
          <w:b/>
          <w:bCs/>
        </w:rPr>
        <w:t>Kia ora, I'm Paddy</w:t>
      </w:r>
      <w:r>
        <w:rPr>
          <w:b/>
          <w:bCs/>
        </w:rPr>
        <w:t>.</w:t>
      </w:r>
    </w:p>
    <w:p w14:paraId="5DA76898" w14:textId="19C739C5" w:rsidR="008F500D" w:rsidRPr="008F500D" w:rsidRDefault="008F500D" w:rsidP="008F500D">
      <w:r w:rsidRPr="008F500D">
        <w:t xml:space="preserve">I haven't been working in the Public Sector long, so I am still getting to grips with how things work here. </w:t>
      </w:r>
    </w:p>
    <w:p w14:paraId="7AA9120A" w14:textId="35113B99" w:rsidR="008F500D" w:rsidRPr="008F500D" w:rsidRDefault="008F500D" w:rsidP="008F500D">
      <w:r w:rsidRPr="008F500D">
        <w:t xml:space="preserve">I use AI a little bit. I am keen to use it more but feel a bit uncertain about the 'rules' for using AI in the public sector. It's probably a bit different to how I used it in my previous private sector role. </w:t>
      </w:r>
    </w:p>
    <w:p w14:paraId="4325F036" w14:textId="37832FE9" w:rsidR="008F500D" w:rsidRPr="008F500D" w:rsidRDefault="008F500D" w:rsidP="008F500D">
      <w:r w:rsidRPr="008F500D">
        <w:t>I'm keen to work through this learning with you to figure out what will keep me safe when I use AI in my day-to-day work.</w:t>
      </w:r>
    </w:p>
    <w:p w14:paraId="5097697D" w14:textId="77777777" w:rsidR="008F500D" w:rsidRDefault="008F500D"/>
    <w:p w14:paraId="128F6793" w14:textId="77777777" w:rsidR="008F500D" w:rsidRPr="008F500D" w:rsidRDefault="008F500D" w:rsidP="008F500D">
      <w:pPr>
        <w:pStyle w:val="Heading2"/>
      </w:pPr>
      <w:r w:rsidRPr="008F500D">
        <w:t>Learning Outcomes and Navigation</w:t>
      </w:r>
    </w:p>
    <w:p w14:paraId="4A227ABD" w14:textId="7EFAF74A" w:rsidR="008F500D" w:rsidRPr="008F500D" w:rsidRDefault="008F500D" w:rsidP="008F500D">
      <w:r w:rsidRPr="008F500D">
        <w:t>This learning series has been designed to help you build confidence using AI in your everyday work as a public servant. This series is made up of short, focused learning you can complete in just a few minutes.</w:t>
      </w:r>
    </w:p>
    <w:p w14:paraId="55B5E45E" w14:textId="5FD770E0" w:rsidR="008F500D" w:rsidRDefault="008F500D" w:rsidP="008F500D">
      <w:pPr>
        <w:rPr>
          <w:b/>
          <w:bCs/>
          <w:color w:val="FF0000"/>
        </w:rPr>
      </w:pPr>
      <w:r w:rsidRPr="008F500D">
        <w:rPr>
          <w:b/>
          <w:bCs/>
        </w:rPr>
        <w:t>Introduction to safe and responsible AI</w:t>
      </w:r>
      <w:r>
        <w:rPr>
          <w:b/>
          <w:bCs/>
        </w:rPr>
        <w:t xml:space="preserve"> </w:t>
      </w:r>
      <w:r w:rsidRPr="008F500D">
        <w:rPr>
          <w:b/>
          <w:bCs/>
          <w:color w:val="FF0000"/>
        </w:rPr>
        <w:sym w:font="Wingdings" w:char="F0DF"/>
      </w:r>
      <w:r w:rsidRPr="008F500D">
        <w:rPr>
          <w:b/>
          <w:bCs/>
          <w:color w:val="FF0000"/>
        </w:rPr>
        <w:t xml:space="preserve"> You are here.</w:t>
      </w:r>
    </w:p>
    <w:p w14:paraId="37940032" w14:textId="77777777" w:rsidR="008F500D" w:rsidRPr="008F500D" w:rsidRDefault="008F500D" w:rsidP="008F500D">
      <w:pPr>
        <w:rPr>
          <w:b/>
          <w:bCs/>
        </w:rPr>
      </w:pPr>
      <w:r w:rsidRPr="008F500D">
        <w:rPr>
          <w:b/>
          <w:bCs/>
        </w:rPr>
        <w:t>What the principles mean in day-to-day AI use.</w:t>
      </w:r>
    </w:p>
    <w:p w14:paraId="365FBA99" w14:textId="77777777" w:rsidR="008F500D" w:rsidRPr="008F500D" w:rsidRDefault="008F500D" w:rsidP="008F500D">
      <w:pPr>
        <w:rPr>
          <w:b/>
          <w:bCs/>
        </w:rPr>
      </w:pPr>
      <w:r w:rsidRPr="008F500D">
        <w:rPr>
          <w:b/>
          <w:bCs/>
        </w:rPr>
        <w:t>AI Principles: Implementing a Chatbot</w:t>
      </w:r>
    </w:p>
    <w:p w14:paraId="20378AC8" w14:textId="77777777" w:rsidR="008F500D" w:rsidRPr="008F500D" w:rsidRDefault="008F500D" w:rsidP="008F500D">
      <w:pPr>
        <w:rPr>
          <w:b/>
          <w:bCs/>
        </w:rPr>
      </w:pPr>
      <w:r w:rsidRPr="008F500D">
        <w:rPr>
          <w:b/>
          <w:bCs/>
        </w:rPr>
        <w:t>Unlocking Safe and Responsible AI</w:t>
      </w:r>
    </w:p>
    <w:p w14:paraId="3DB0A56D" w14:textId="65EF549D" w:rsidR="008F500D" w:rsidRDefault="008F500D" w:rsidP="008F500D">
      <w:r w:rsidRPr="008F500D">
        <w:t>You'll explore:</w:t>
      </w:r>
    </w:p>
    <w:p w14:paraId="0E80F54B" w14:textId="77777777" w:rsidR="008F500D" w:rsidRPr="008F500D" w:rsidRDefault="008F500D" w:rsidP="008F500D">
      <w:pPr>
        <w:pStyle w:val="ListParagraph"/>
        <w:numPr>
          <w:ilvl w:val="0"/>
          <w:numId w:val="1"/>
        </w:numPr>
      </w:pPr>
      <w:r w:rsidRPr="008F500D">
        <w:t>The five principles within the Public Service AI Framework.</w:t>
      </w:r>
    </w:p>
    <w:p w14:paraId="444801F7" w14:textId="77777777" w:rsidR="008F500D" w:rsidRPr="008F500D" w:rsidRDefault="008F500D" w:rsidP="008F500D">
      <w:pPr>
        <w:pStyle w:val="ListParagraph"/>
        <w:numPr>
          <w:ilvl w:val="0"/>
          <w:numId w:val="1"/>
        </w:numPr>
      </w:pPr>
      <w:r w:rsidRPr="008F500D">
        <w:t>What the principles look like in practice.</w:t>
      </w:r>
    </w:p>
    <w:p w14:paraId="76BA9535" w14:textId="05140EB3" w:rsidR="008F500D" w:rsidRPr="008F500D" w:rsidRDefault="008F500D" w:rsidP="008F500D">
      <w:pPr>
        <w:pStyle w:val="ListParagraph"/>
        <w:numPr>
          <w:ilvl w:val="0"/>
          <w:numId w:val="1"/>
        </w:numPr>
      </w:pPr>
      <w:r w:rsidRPr="008F500D">
        <w:t xml:space="preserve">What you need to consider </w:t>
      </w:r>
      <w:proofErr w:type="gramStart"/>
      <w:r w:rsidRPr="008F500D">
        <w:t>to keep</w:t>
      </w:r>
      <w:proofErr w:type="gramEnd"/>
      <w:r w:rsidRPr="008F500D">
        <w:t xml:space="preserve"> yourself safe when using AI at work.</w:t>
      </w:r>
    </w:p>
    <w:p w14:paraId="1F41A81A" w14:textId="33F319B4" w:rsidR="008F500D" w:rsidRDefault="008F500D" w:rsidP="008F500D">
      <w:r>
        <w:rPr>
          <w:noProof/>
        </w:rPr>
        <w:drawing>
          <wp:anchor distT="0" distB="0" distL="114300" distR="114300" simplePos="0" relativeHeight="251659264" behindDoc="0" locked="0" layoutInCell="1" allowOverlap="1" wp14:anchorId="4B746643" wp14:editId="60BD87E1">
            <wp:simplePos x="0" y="0"/>
            <wp:positionH relativeFrom="margin">
              <wp:align>right</wp:align>
            </wp:positionH>
            <wp:positionV relativeFrom="paragraph">
              <wp:posOffset>286556</wp:posOffset>
            </wp:positionV>
            <wp:extent cx="1069975" cy="1323340"/>
            <wp:effectExtent l="0" t="0" r="0" b="0"/>
            <wp:wrapSquare wrapText="bothSides"/>
            <wp:docPr id="506563269" name="Picture 2" descr="Illustration of an older man with a bald head wearing a green cardigan over a light blue button-up shirt and gray pants. He stands with one hand on his hip and the other gesturing outward, suggesting he is explaining or presenting somethin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63269" name="Picture 2" descr="Illustration of an older man with a bald head wearing a green cardigan over a light blue button-up shirt and gray pants. He stands with one hand on his hip and the other gesturing outward, suggesting he is explaining or presenting something.&#10;&#10;"/>
                    <pic:cNvPicPr/>
                  </pic:nvPicPr>
                  <pic:blipFill rotWithShape="1">
                    <a:blip r:embed="rId10" cstate="print">
                      <a:extLst>
                        <a:ext uri="{28A0092B-C50C-407E-A947-70E740481C1C}">
                          <a14:useLocalDpi xmlns:a14="http://schemas.microsoft.com/office/drawing/2010/main" val="0"/>
                        </a:ext>
                      </a:extLst>
                    </a:blip>
                    <a:srcRect l="36077" t="5283" r="34632" b="67042"/>
                    <a:stretch>
                      <a:fillRect/>
                    </a:stretch>
                  </pic:blipFill>
                  <pic:spPr bwMode="auto">
                    <a:xfrm>
                      <a:off x="0" y="0"/>
                      <a:ext cx="1069975" cy="1323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BA9D7A" w14:textId="64CD52EC" w:rsidR="008F500D" w:rsidRPr="008F500D" w:rsidRDefault="008F500D" w:rsidP="008F500D">
      <w:r w:rsidRPr="008F500D">
        <w:t>"In our public service, AI guidance comes from a mix of frameworks and governance efforts, along with several laws that are relevant for AI. Together, they ensure that AI is used safely, responsibly and reﬂects our public service values and earns people’s trust.</w:t>
      </w:r>
    </w:p>
    <w:p w14:paraId="4238428A" w14:textId="77777777" w:rsidR="008F500D" w:rsidRDefault="008F500D" w:rsidP="008F500D">
      <w:r w:rsidRPr="008F500D">
        <w:lastRenderedPageBreak/>
        <w:t>It starts with the Public Service AI Framework: A foundational guide that lays out a shared vision for how AI should be used across the public service."</w:t>
      </w:r>
    </w:p>
    <w:p w14:paraId="0526409F" w14:textId="77777777" w:rsidR="008F500D" w:rsidRDefault="008F500D" w:rsidP="008F500D"/>
    <w:p w14:paraId="07844028" w14:textId="77777777" w:rsidR="008F500D" w:rsidRPr="008F500D" w:rsidRDefault="008F500D" w:rsidP="008F500D">
      <w:pPr>
        <w:rPr>
          <w:b/>
          <w:bCs/>
        </w:rPr>
      </w:pPr>
      <w:r w:rsidRPr="008F500D">
        <w:rPr>
          <w:b/>
          <w:bCs/>
        </w:rPr>
        <w:t>The Public Service AI Framework:</w:t>
      </w:r>
    </w:p>
    <w:p w14:paraId="0131CA37" w14:textId="5C2974FE" w:rsidR="008F500D" w:rsidRPr="008F500D" w:rsidRDefault="008F500D" w:rsidP="008F500D">
      <w:pPr>
        <w:pStyle w:val="ListParagraph"/>
        <w:numPr>
          <w:ilvl w:val="0"/>
          <w:numId w:val="3"/>
        </w:numPr>
      </w:pPr>
      <w:r w:rsidRPr="008F500D">
        <w:t>sets a vision for AI in New Zealand’s Public Service</w:t>
      </w:r>
    </w:p>
    <w:p w14:paraId="72CE22CD" w14:textId="45DF4987" w:rsidR="008F500D" w:rsidRPr="008F500D" w:rsidRDefault="008F500D" w:rsidP="008F500D">
      <w:pPr>
        <w:pStyle w:val="ListParagraph"/>
        <w:numPr>
          <w:ilvl w:val="0"/>
          <w:numId w:val="3"/>
        </w:numPr>
      </w:pPr>
      <w:r w:rsidRPr="008F500D">
        <w:t>defines 5 key principles to guide Public Service AI use</w:t>
      </w:r>
    </w:p>
    <w:p w14:paraId="23CD7C54" w14:textId="2543FEB4" w:rsidR="008F500D" w:rsidRPr="008F500D" w:rsidRDefault="008F500D" w:rsidP="008F500D">
      <w:pPr>
        <w:pStyle w:val="ListParagraph"/>
        <w:numPr>
          <w:ilvl w:val="0"/>
          <w:numId w:val="3"/>
        </w:numPr>
      </w:pPr>
      <w:r w:rsidRPr="008F500D">
        <w:t>outlines the policy context for Public Service AI use</w:t>
      </w:r>
    </w:p>
    <w:p w14:paraId="037CD869" w14:textId="37C361AE" w:rsidR="008F500D" w:rsidRPr="008F500D" w:rsidRDefault="008F500D" w:rsidP="008F500D">
      <w:pPr>
        <w:pStyle w:val="ListParagraph"/>
        <w:numPr>
          <w:ilvl w:val="0"/>
          <w:numId w:val="3"/>
        </w:numPr>
      </w:pPr>
      <w:r w:rsidRPr="008F500D">
        <w:t>outlines 6 key pillars of the Government Digital Delivery Agency’s (GDDA) AI work programme.</w:t>
      </w:r>
    </w:p>
    <w:p w14:paraId="0EEAA35F" w14:textId="236ABAB0" w:rsidR="008F500D" w:rsidRDefault="008F500D" w:rsidP="008F500D">
      <w:r w:rsidRPr="008F500D">
        <w:t xml:space="preserve">Learn more about the Framework: </w:t>
      </w:r>
      <w:hyperlink r:id="rId11" w:history="1">
        <w:r w:rsidRPr="008F500D">
          <w:rPr>
            <w:rStyle w:val="Hyperlink"/>
          </w:rPr>
          <w:t>https://www.digital.govt.nz/standards-and-guidance/technology-and-architecture/artificial-intelligence/public-service-artificial-intelligence-framework</w:t>
        </w:r>
      </w:hyperlink>
    </w:p>
    <w:p w14:paraId="25A4438D" w14:textId="77777777" w:rsidR="008F500D" w:rsidRDefault="008F500D" w:rsidP="008F500D"/>
    <w:p w14:paraId="75176EA8" w14:textId="77777777" w:rsidR="008F500D" w:rsidRPr="008F500D" w:rsidRDefault="008F500D" w:rsidP="008F500D">
      <w:pPr>
        <w:pStyle w:val="Heading2"/>
      </w:pPr>
      <w:r w:rsidRPr="008F500D">
        <w:t>Definitions of the 5 key principles</w:t>
      </w:r>
    </w:p>
    <w:p w14:paraId="516D1016" w14:textId="77777777" w:rsidR="008F500D" w:rsidRPr="008F500D" w:rsidRDefault="008F500D" w:rsidP="008F500D">
      <w:pPr>
        <w:pStyle w:val="Heading3"/>
      </w:pPr>
      <w:r w:rsidRPr="008F500D">
        <w:t>Principle 1 - Inclusive, sustainable development</w:t>
      </w:r>
    </w:p>
    <w:p w14:paraId="005EFD59" w14:textId="49DC83BE" w:rsidR="008F500D" w:rsidRPr="008F500D" w:rsidRDefault="008F500D" w:rsidP="008F500D">
      <w:r w:rsidRPr="008F500D">
        <w:t>Public Service AI systems should contribute to inclusive growth and sustainable development through a focus on innovation, efficiency and resilience, and on reducing economic, social, gender and other inequalities and protecting natural environments. AI use should consider and address concerns about unequal access to technology.</w:t>
      </w:r>
    </w:p>
    <w:p w14:paraId="06B6999E" w14:textId="77777777" w:rsidR="008F500D" w:rsidRPr="008F500D" w:rsidRDefault="008F500D" w:rsidP="008F500D">
      <w:pPr>
        <w:pStyle w:val="Heading3"/>
      </w:pPr>
      <w:r w:rsidRPr="008F500D">
        <w:t>Principle 2 - Human-centred values</w:t>
      </w:r>
    </w:p>
    <w:p w14:paraId="26300443" w14:textId="77777777" w:rsidR="008F500D" w:rsidRDefault="008F500D" w:rsidP="008F500D">
      <w:r w:rsidRPr="008F500D">
        <w:t>Public Service AI use should respect the rule of law, democratic values and human rights and labour rights through the lifecycle of each AI system or product.</w:t>
      </w:r>
    </w:p>
    <w:p w14:paraId="121E2907" w14:textId="77777777" w:rsidR="008F500D" w:rsidRPr="008F500D" w:rsidRDefault="008F500D" w:rsidP="008F500D">
      <w:pPr>
        <w:pStyle w:val="Heading3"/>
      </w:pPr>
      <w:r w:rsidRPr="008F500D">
        <w:t>Principle 3 - Transparency and explainability</w:t>
      </w:r>
    </w:p>
    <w:p w14:paraId="2A189968" w14:textId="77777777" w:rsidR="008F500D" w:rsidRDefault="008F500D" w:rsidP="008F500D">
      <w:r w:rsidRPr="008F500D">
        <w:t>The Public Service needs to commit to transparency in its use of AI. People interacting with government AI systems or receiving AI-assisted services should be aware of and understand how AI is being used.</w:t>
      </w:r>
    </w:p>
    <w:p w14:paraId="35064F20" w14:textId="77777777" w:rsidR="008F500D" w:rsidRPr="008F500D" w:rsidRDefault="008F500D" w:rsidP="008F500D">
      <w:pPr>
        <w:pStyle w:val="Heading3"/>
      </w:pPr>
      <w:r w:rsidRPr="008F500D">
        <w:t>Principle 4 - Safety and Security</w:t>
      </w:r>
    </w:p>
    <w:p w14:paraId="4E165E62" w14:textId="77777777" w:rsidR="008F500D" w:rsidRPr="008F500D" w:rsidRDefault="008F500D" w:rsidP="008F500D">
      <w:r w:rsidRPr="008F500D">
        <w:t>Public Service AI systems should treat the security of customers and staff as a core business requirement, not just a technical feature (security-by-design). They should minimise risk to individual or national safety and security under normal use, misuse or adverse conditions.</w:t>
      </w:r>
    </w:p>
    <w:p w14:paraId="4B2FB4AF" w14:textId="77777777" w:rsidR="008F500D" w:rsidRDefault="008F500D" w:rsidP="008F500D">
      <w:r w:rsidRPr="008F500D">
        <w:lastRenderedPageBreak/>
        <w:t>The Public Service should ensure traceability of data, apply a robust risk management approach and work collaboratively with commercial and security colleagues in the procurement and assurance of AI tools.</w:t>
      </w:r>
    </w:p>
    <w:p w14:paraId="4B5AFF1B" w14:textId="77777777" w:rsidR="008F500D" w:rsidRPr="008F500D" w:rsidRDefault="008F500D" w:rsidP="008F500D">
      <w:pPr>
        <w:pStyle w:val="Heading3"/>
      </w:pPr>
      <w:r w:rsidRPr="008F500D">
        <w:t>Principle 5 - Accountability</w:t>
      </w:r>
    </w:p>
    <w:p w14:paraId="7CF9826D" w14:textId="77777777" w:rsidR="008F500D" w:rsidRDefault="008F500D" w:rsidP="008F500D">
      <w:r w:rsidRPr="008F500D">
        <w:t>AI use within the Public Service should be subject to oversight by accountable humans with appropriate authority and capability at every stage. This should include the application of relevant regulatory and governance frameworks, reporting, auditing and/or independent reviews. Agency AI capabilities need to keep pace with technological changes, to maintain a strong understanding of AI systems and their limitations.</w:t>
      </w:r>
    </w:p>
    <w:p w14:paraId="4C09BA63" w14:textId="77777777" w:rsidR="008F500D" w:rsidRDefault="008F500D" w:rsidP="008F500D"/>
    <w:p w14:paraId="3A82127B" w14:textId="365B62CF" w:rsidR="008F500D" w:rsidRPr="008F500D" w:rsidRDefault="008F500D" w:rsidP="008F500D">
      <w:pPr>
        <w:pStyle w:val="Heading2"/>
      </w:pPr>
      <w:r w:rsidRPr="008F500D">
        <w:t>Key legislation that impacts our AI use</w:t>
      </w:r>
    </w:p>
    <w:p w14:paraId="34E20EA0" w14:textId="28697242" w:rsidR="008F500D" w:rsidRPr="008F500D" w:rsidRDefault="008F500D" w:rsidP="008F500D">
      <w:pPr>
        <w:pStyle w:val="Heading3"/>
      </w:pPr>
      <w:r w:rsidRPr="008F500D">
        <w:t>1. Te Tiriti o Waitangi |</w:t>
      </w:r>
      <w:r>
        <w:t xml:space="preserve"> </w:t>
      </w:r>
      <w:r w:rsidRPr="008F500D">
        <w:t>Treaty of Waitangi</w:t>
      </w:r>
    </w:p>
    <w:p w14:paraId="5F57E71D" w14:textId="77777777" w:rsidR="008F500D" w:rsidRDefault="008F500D" w:rsidP="008F500D">
      <w:r w:rsidRPr="008F500D">
        <w:t xml:space="preserve">As New Zealand’s founding document, Te Tiriti |The Treaty is key to a lot of the work we do as public servants, working together to strengthen the Māori–Crown relationship. There are </w:t>
      </w:r>
      <w:proofErr w:type="gramStart"/>
      <w:r w:rsidRPr="008F500D">
        <w:t>a number of</w:t>
      </w:r>
      <w:proofErr w:type="gramEnd"/>
      <w:r w:rsidRPr="008F500D">
        <w:t xml:space="preserve"> implications for data, artificial intelligence, and similar work.</w:t>
      </w:r>
    </w:p>
    <w:p w14:paraId="66BFD033" w14:textId="77777777" w:rsidR="008F500D" w:rsidRPr="008F500D" w:rsidRDefault="008F500D" w:rsidP="008F500D">
      <w:pPr>
        <w:pStyle w:val="Heading3"/>
      </w:pPr>
      <w:r w:rsidRPr="008F500D">
        <w:t>2. Official Information Act</w:t>
      </w:r>
    </w:p>
    <w:p w14:paraId="67A31303" w14:textId="77777777" w:rsidR="008F500D" w:rsidRDefault="008F500D" w:rsidP="008F500D">
      <w:r w:rsidRPr="008F500D">
        <w:t>This Act facilitates transparency by ensuring the public can access government information. When it comes to AI and data, we want to be accountable to the public about the AI systems we use. This ensures the public are informed about how we use AI.</w:t>
      </w:r>
    </w:p>
    <w:p w14:paraId="5AA39B0C" w14:textId="77777777" w:rsidR="008F500D" w:rsidRPr="008F500D" w:rsidRDefault="008F500D" w:rsidP="008F500D">
      <w:pPr>
        <w:pStyle w:val="Heading3"/>
      </w:pPr>
      <w:r w:rsidRPr="008F500D">
        <w:t>3. New Zealand Human Rights Act</w:t>
      </w:r>
    </w:p>
    <w:p w14:paraId="51800E73" w14:textId="77777777" w:rsidR="008F500D" w:rsidRDefault="008F500D" w:rsidP="008F500D">
      <w:r w:rsidRPr="008F500D">
        <w:t>This Act prohibits discrimination and promotes equal treatment. In the context of AI, it means that AI solutions must be designed and implemented in ways that actively avoid bias and ensure fair treatment of all those who use the tool.</w:t>
      </w:r>
    </w:p>
    <w:p w14:paraId="694167A8" w14:textId="77777777" w:rsidR="008F500D" w:rsidRPr="008F500D" w:rsidRDefault="008F500D" w:rsidP="008F500D">
      <w:pPr>
        <w:pStyle w:val="Heading3"/>
      </w:pPr>
      <w:r w:rsidRPr="008F500D">
        <w:t>4. Privacy Act</w:t>
      </w:r>
    </w:p>
    <w:p w14:paraId="0D327C4A" w14:textId="77777777" w:rsidR="008F500D" w:rsidRDefault="008F500D" w:rsidP="008F500D">
      <w:r w:rsidRPr="008F500D">
        <w:t>It is critical to consider how privacy is protected when personal data is involved. This Act governs how we collect, use, and disclose personal information. AI tools need to support responsible data handling practices, ensuring that we deploy AI in a way that builds public trust through transparency.</w:t>
      </w:r>
    </w:p>
    <w:p w14:paraId="38E2E245" w14:textId="77777777" w:rsidR="008F500D" w:rsidRPr="008F500D" w:rsidRDefault="008F500D" w:rsidP="008F500D">
      <w:pPr>
        <w:pStyle w:val="Heading3"/>
      </w:pPr>
      <w:r w:rsidRPr="008F500D">
        <w:t>5. Copyright Act</w:t>
      </w:r>
    </w:p>
    <w:p w14:paraId="730F3CF7" w14:textId="77777777" w:rsidR="008F500D" w:rsidRPr="008F500D" w:rsidRDefault="008F500D" w:rsidP="008F500D">
      <w:r w:rsidRPr="008F500D">
        <w:t>Creators have rights over the works they create. This Act has implications for intellectual property rights and fostering innovation within legal boundaries.</w:t>
      </w:r>
    </w:p>
    <w:p w14:paraId="6EB7AD4B" w14:textId="77777777" w:rsidR="008F500D" w:rsidRPr="008F500D" w:rsidRDefault="008F500D" w:rsidP="008F500D">
      <w:pPr>
        <w:pStyle w:val="Heading3"/>
      </w:pPr>
      <w:r w:rsidRPr="008F500D">
        <w:lastRenderedPageBreak/>
        <w:t>6. Public Service Act</w:t>
      </w:r>
    </w:p>
    <w:p w14:paraId="1C9D9723" w14:textId="2A6061F4" w:rsidR="008F500D" w:rsidRPr="008F500D" w:rsidRDefault="008F500D" w:rsidP="008F500D">
      <w:r w:rsidRPr="008F500D">
        <w:t>This legislation governs a unified and responsive public service. We need to integrate AI technologies in ways that enhance service delivery for the end user while upholding public service values.</w:t>
      </w:r>
    </w:p>
    <w:p w14:paraId="2B792615" w14:textId="77777777" w:rsidR="008F500D" w:rsidRPr="008F500D" w:rsidRDefault="008F500D" w:rsidP="008F500D">
      <w:pPr>
        <w:pStyle w:val="Heading3"/>
      </w:pPr>
      <w:r w:rsidRPr="008F500D">
        <w:t>7. New Zealand Bill of Rights Act</w:t>
      </w:r>
    </w:p>
    <w:p w14:paraId="61B6B2B8" w14:textId="77777777" w:rsidR="008F500D" w:rsidRDefault="008F500D" w:rsidP="008F500D">
      <w:r w:rsidRPr="008F500D">
        <w:t>This Act safeguards fundamental human rights and freedoms. AI systems must respect those rights, such as privacy and freedom from discrimination, guiding how we ethically deploy AI in delivering public services.</w:t>
      </w:r>
    </w:p>
    <w:p w14:paraId="59986D03" w14:textId="77777777" w:rsidR="008F500D" w:rsidRPr="008F500D" w:rsidRDefault="008F500D" w:rsidP="008F500D">
      <w:pPr>
        <w:pStyle w:val="Heading3"/>
      </w:pPr>
      <w:r w:rsidRPr="008F500D">
        <w:t>8. Public Records Act</w:t>
      </w:r>
    </w:p>
    <w:p w14:paraId="479ADEE3" w14:textId="77777777" w:rsidR="008F500D" w:rsidRDefault="008F500D" w:rsidP="008F500D">
      <w:r w:rsidRPr="008F500D">
        <w:t>This Act is about how government records are created, maintained, and preserved. Proper data management practices are key, ensuring that AI decisions can be audited and that data integrity is maintained over time.</w:t>
      </w:r>
    </w:p>
    <w:p w14:paraId="09928815" w14:textId="77777777" w:rsidR="008F500D" w:rsidRPr="008F500D" w:rsidRDefault="008F500D" w:rsidP="008F500D">
      <w:pPr>
        <w:pStyle w:val="Heading3"/>
      </w:pPr>
      <w:r w:rsidRPr="008F500D">
        <w:t>9. Algorithm Charter of New Zealand</w:t>
      </w:r>
    </w:p>
    <w:p w14:paraId="557B4992" w14:textId="77777777" w:rsidR="008F500D" w:rsidRDefault="008F500D" w:rsidP="008F500D">
      <w:r w:rsidRPr="008F500D">
        <w:t>The charter states that humans must review and decide on almost all signiﬁcant decisions made by government agencies. Signiﬁcant decisions are those where people’s wellbeing is impacted, or there is a high likelihood many people could suffer an unintended adverse impact, such as incorrect tax decisions. Additionally, the charter requires transparency of algorithm use by keeping appropriate records and providing clear and accessible documentation.</w:t>
      </w:r>
    </w:p>
    <w:p w14:paraId="05A42F51" w14:textId="77777777" w:rsidR="008F500D" w:rsidRDefault="008F500D" w:rsidP="008F500D"/>
    <w:p w14:paraId="51B01C18" w14:textId="77777777" w:rsidR="008F500D" w:rsidRPr="008F500D" w:rsidRDefault="008F500D" w:rsidP="008F500D">
      <w:r w:rsidRPr="008F500D">
        <w:t>Imagine your agency is implementing an AI tool to help analyse large volumes of public feedback. The tool automatically scans and categorises open-text submissions from individuals and communities, identifying key themes and ﬂagging potentially harmful content. It stores submissions securely, does not make any ﬁnal decisions, and all outputs are reviewed by human staff before use.</w:t>
      </w:r>
    </w:p>
    <w:p w14:paraId="6C32981D" w14:textId="77777777" w:rsidR="008F500D" w:rsidRPr="008F500D" w:rsidRDefault="008F500D" w:rsidP="008F500D">
      <w:r w:rsidRPr="008F500D">
        <w:rPr>
          <w:b/>
          <w:bCs/>
        </w:rPr>
        <w:t>In the table below you can see how some of the legislation and regulations might apply.</w:t>
      </w:r>
    </w:p>
    <w:tbl>
      <w:tblPr>
        <w:tblW w:w="5000" w:type="pct"/>
        <w:shd w:val="clear" w:color="auto" w:fill="FAFAFA"/>
        <w:tblCellMar>
          <w:top w:w="15" w:type="dxa"/>
          <w:left w:w="15" w:type="dxa"/>
          <w:bottom w:w="15" w:type="dxa"/>
          <w:right w:w="15" w:type="dxa"/>
        </w:tblCellMar>
        <w:tblLook w:val="04A0" w:firstRow="1" w:lastRow="0" w:firstColumn="1" w:lastColumn="0" w:noHBand="0" w:noVBand="1"/>
      </w:tblPr>
      <w:tblGrid>
        <w:gridCol w:w="3172"/>
        <w:gridCol w:w="5844"/>
      </w:tblGrid>
      <w:tr w:rsidR="008F500D" w:rsidRPr="008F500D" w14:paraId="087DF9B4" w14:textId="77777777" w:rsidTr="008F500D">
        <w:tc>
          <w:tcPr>
            <w:tcW w:w="1759" w:type="pct"/>
            <w:tcBorders>
              <w:top w:val="single" w:sz="4" w:space="0" w:color="DDDDDD"/>
              <w:left w:val="single" w:sz="4" w:space="0" w:color="DDDDDD"/>
              <w:bottom w:val="single" w:sz="4" w:space="0" w:color="DDDDDD"/>
              <w:right w:val="single" w:sz="4" w:space="0" w:color="DDDDDD"/>
            </w:tcBorders>
            <w:shd w:val="clear" w:color="auto" w:fill="1F5B99"/>
            <w:vAlign w:val="center"/>
            <w:hideMark/>
          </w:tcPr>
          <w:p w14:paraId="52C6EDC9" w14:textId="77777777" w:rsidR="008F500D" w:rsidRPr="008F500D" w:rsidRDefault="008F500D" w:rsidP="008F500D">
            <w:pPr>
              <w:rPr>
                <w:b/>
                <w:bCs/>
                <w:color w:val="FFFFFF" w:themeColor="background1"/>
              </w:rPr>
            </w:pPr>
            <w:r w:rsidRPr="008F500D">
              <w:rPr>
                <w:b/>
                <w:bCs/>
                <w:color w:val="FFFFFF" w:themeColor="background1"/>
              </w:rPr>
              <w:t>Legislation/Regulations</w:t>
            </w:r>
          </w:p>
        </w:tc>
        <w:tc>
          <w:tcPr>
            <w:tcW w:w="3241" w:type="pct"/>
            <w:tcBorders>
              <w:top w:val="single" w:sz="4" w:space="0" w:color="DDDDDD"/>
              <w:left w:val="single" w:sz="4" w:space="0" w:color="DDDDDD"/>
              <w:bottom w:val="single" w:sz="4" w:space="0" w:color="DDDDDD"/>
              <w:right w:val="single" w:sz="4" w:space="0" w:color="DDDDDD"/>
            </w:tcBorders>
            <w:shd w:val="clear" w:color="auto" w:fill="1F5B99"/>
            <w:vAlign w:val="center"/>
            <w:hideMark/>
          </w:tcPr>
          <w:p w14:paraId="349D1010" w14:textId="77777777" w:rsidR="008F500D" w:rsidRPr="008F500D" w:rsidRDefault="008F500D" w:rsidP="008F500D">
            <w:pPr>
              <w:rPr>
                <w:b/>
                <w:bCs/>
                <w:color w:val="FFFFFF" w:themeColor="background1"/>
              </w:rPr>
            </w:pPr>
            <w:r w:rsidRPr="008F500D">
              <w:rPr>
                <w:b/>
                <w:bCs/>
                <w:color w:val="FFFFFF" w:themeColor="background1"/>
              </w:rPr>
              <w:t>Explanation</w:t>
            </w:r>
          </w:p>
        </w:tc>
      </w:tr>
      <w:tr w:rsidR="008F500D" w:rsidRPr="008F500D" w14:paraId="712B3673" w14:textId="77777777" w:rsidTr="008F500D">
        <w:tc>
          <w:tcPr>
            <w:tcW w:w="1759"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63E1113B" w14:textId="77777777" w:rsidR="008F500D" w:rsidRPr="008F500D" w:rsidRDefault="008F500D" w:rsidP="008F500D">
            <w:r w:rsidRPr="008F500D">
              <w:t>Privacy Act</w:t>
            </w:r>
          </w:p>
        </w:tc>
        <w:tc>
          <w:tcPr>
            <w:tcW w:w="3241"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4C5EF008" w14:textId="77777777" w:rsidR="008F500D" w:rsidRPr="008F500D" w:rsidRDefault="008F500D" w:rsidP="008F500D">
            <w:r w:rsidRPr="008F500D">
              <w:t>Since the tool handles comments that may include personal information, privacy protections are likely required.</w:t>
            </w:r>
          </w:p>
        </w:tc>
      </w:tr>
      <w:tr w:rsidR="008F500D" w:rsidRPr="008F500D" w14:paraId="43E3120A" w14:textId="77777777" w:rsidTr="008F500D">
        <w:tc>
          <w:tcPr>
            <w:tcW w:w="1759"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21D4C7ED" w14:textId="77777777" w:rsidR="008F500D" w:rsidRPr="008F500D" w:rsidRDefault="008F500D" w:rsidP="008F500D">
            <w:r w:rsidRPr="008F500D">
              <w:t>Official Information Act</w:t>
            </w:r>
          </w:p>
        </w:tc>
        <w:tc>
          <w:tcPr>
            <w:tcW w:w="3241"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7B06832B" w14:textId="77777777" w:rsidR="008F500D" w:rsidRPr="008F500D" w:rsidRDefault="008F500D" w:rsidP="008F500D">
            <w:r w:rsidRPr="008F500D">
              <w:t>If someone requests information about how their feedback was used, the agency may need to provide an explanation.</w:t>
            </w:r>
          </w:p>
        </w:tc>
      </w:tr>
      <w:tr w:rsidR="008F500D" w:rsidRPr="008F500D" w14:paraId="24A19C98" w14:textId="77777777" w:rsidTr="008F500D">
        <w:tc>
          <w:tcPr>
            <w:tcW w:w="1759"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7937E890" w14:textId="77777777" w:rsidR="008F500D" w:rsidRPr="008F500D" w:rsidRDefault="008F500D" w:rsidP="008F500D">
            <w:r w:rsidRPr="008F500D">
              <w:lastRenderedPageBreak/>
              <w:t>Public Records Act</w:t>
            </w:r>
          </w:p>
        </w:tc>
        <w:tc>
          <w:tcPr>
            <w:tcW w:w="3241"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70E1E1D5" w14:textId="77777777" w:rsidR="008F500D" w:rsidRPr="008F500D" w:rsidRDefault="008F500D" w:rsidP="008F500D">
            <w:r w:rsidRPr="008F500D">
              <w:t>If the outputs or summaries are used in decision-making, they may need to be stored appropriately.</w:t>
            </w:r>
          </w:p>
        </w:tc>
      </w:tr>
      <w:tr w:rsidR="008F500D" w:rsidRPr="008F500D" w14:paraId="266D37F6" w14:textId="77777777" w:rsidTr="008F500D">
        <w:tc>
          <w:tcPr>
            <w:tcW w:w="1759"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67014291" w14:textId="77777777" w:rsidR="008F500D" w:rsidRPr="008F500D" w:rsidRDefault="008F500D" w:rsidP="008F500D">
            <w:r w:rsidRPr="008F500D">
              <w:t>Te Tiriti o Waitangi | Treaty of Waitangi</w:t>
            </w:r>
          </w:p>
        </w:tc>
        <w:tc>
          <w:tcPr>
            <w:tcW w:w="3241" w:type="pct"/>
            <w:tcBorders>
              <w:top w:val="single" w:sz="4" w:space="0" w:color="DDDDDD"/>
              <w:left w:val="single" w:sz="4" w:space="0" w:color="DDDDDD"/>
              <w:bottom w:val="single" w:sz="4" w:space="0" w:color="DDDDDD"/>
              <w:right w:val="single" w:sz="4" w:space="0" w:color="DDDDDD"/>
            </w:tcBorders>
            <w:shd w:val="clear" w:color="auto" w:fill="FAFAFA"/>
            <w:vAlign w:val="center"/>
            <w:hideMark/>
          </w:tcPr>
          <w:p w14:paraId="36639C3A" w14:textId="77777777" w:rsidR="008F500D" w:rsidRPr="008F500D" w:rsidRDefault="008F500D" w:rsidP="008F500D">
            <w:r w:rsidRPr="008F500D">
              <w:t>If Māori perspectives are included, it is important to consider cultural relevance and equity.</w:t>
            </w:r>
          </w:p>
        </w:tc>
      </w:tr>
    </w:tbl>
    <w:p w14:paraId="5824F9A2" w14:textId="77777777" w:rsidR="008F500D" w:rsidRPr="008F500D" w:rsidRDefault="008F500D" w:rsidP="008F500D"/>
    <w:p w14:paraId="05FDE0C8" w14:textId="77777777" w:rsidR="008F500D" w:rsidRPr="008F500D" w:rsidRDefault="008F500D" w:rsidP="008F500D"/>
    <w:p w14:paraId="31966691" w14:textId="77777777" w:rsidR="008F500D" w:rsidRPr="008F500D" w:rsidRDefault="008F500D" w:rsidP="008F500D"/>
    <w:p w14:paraId="728B6B7F" w14:textId="77777777" w:rsidR="008F500D" w:rsidRPr="008F500D" w:rsidRDefault="008F500D" w:rsidP="008F500D"/>
    <w:p w14:paraId="14F97F31" w14:textId="77777777" w:rsidR="008F500D" w:rsidRPr="008F500D" w:rsidRDefault="008F500D" w:rsidP="008F500D"/>
    <w:p w14:paraId="7282E4D7" w14:textId="77777777" w:rsidR="008F500D" w:rsidRPr="008F500D" w:rsidRDefault="008F500D" w:rsidP="008F500D"/>
    <w:p w14:paraId="27D7134C" w14:textId="77777777" w:rsidR="008F500D" w:rsidRPr="008F500D" w:rsidRDefault="008F500D" w:rsidP="008F500D"/>
    <w:p w14:paraId="4170F2DA" w14:textId="77777777" w:rsidR="008F500D" w:rsidRPr="008F500D" w:rsidRDefault="008F500D" w:rsidP="008F500D"/>
    <w:p w14:paraId="3D3177CE" w14:textId="77777777" w:rsidR="008F500D" w:rsidRPr="008F500D" w:rsidRDefault="008F500D" w:rsidP="008F500D"/>
    <w:p w14:paraId="4FF11A50" w14:textId="77777777" w:rsidR="008F500D" w:rsidRPr="008F500D" w:rsidRDefault="008F500D" w:rsidP="008F500D"/>
    <w:p w14:paraId="6C29DB32" w14:textId="77777777" w:rsidR="008F500D" w:rsidRPr="008F500D" w:rsidRDefault="008F500D" w:rsidP="008F500D"/>
    <w:p w14:paraId="0F2C5753" w14:textId="38377360" w:rsidR="008F500D" w:rsidRDefault="008F500D" w:rsidP="008F500D">
      <w:pPr>
        <w:jc w:val="right"/>
        <w:rPr>
          <w:noProof/>
        </w:rPr>
      </w:pPr>
    </w:p>
    <w:p w14:paraId="295D4466" w14:textId="1E90312F" w:rsidR="008F500D" w:rsidRDefault="008F500D"/>
    <w:sectPr w:rsidR="008F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BD6"/>
    <w:multiLevelType w:val="hybridMultilevel"/>
    <w:tmpl w:val="61F0BE2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1193DEF"/>
    <w:multiLevelType w:val="multilevel"/>
    <w:tmpl w:val="517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80364"/>
    <w:multiLevelType w:val="hybridMultilevel"/>
    <w:tmpl w:val="6E1CA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1AF45DA"/>
    <w:multiLevelType w:val="multilevel"/>
    <w:tmpl w:val="030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809538">
    <w:abstractNumId w:val="0"/>
  </w:num>
  <w:num w:numId="2" w16cid:durableId="319046058">
    <w:abstractNumId w:val="3"/>
  </w:num>
  <w:num w:numId="3" w16cid:durableId="1724017886">
    <w:abstractNumId w:val="2"/>
  </w:num>
  <w:num w:numId="4" w16cid:durableId="93428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0D"/>
    <w:rsid w:val="002F564C"/>
    <w:rsid w:val="00301411"/>
    <w:rsid w:val="003041E8"/>
    <w:rsid w:val="00480824"/>
    <w:rsid w:val="007D6D4B"/>
    <w:rsid w:val="008F500D"/>
    <w:rsid w:val="00C3155A"/>
    <w:rsid w:val="00C968E4"/>
    <w:rsid w:val="00F316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448A"/>
  <w15:chartTrackingRefBased/>
  <w15:docId w15:val="{A1E7676D-B3F3-4745-AE97-C33BD0EC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0D"/>
    <w:rPr>
      <w:rFonts w:eastAsiaTheme="majorEastAsia" w:cstheme="majorBidi"/>
      <w:color w:val="272727" w:themeColor="text1" w:themeTint="D8"/>
    </w:rPr>
  </w:style>
  <w:style w:type="paragraph" w:styleId="Title">
    <w:name w:val="Title"/>
    <w:basedOn w:val="Normal"/>
    <w:next w:val="Normal"/>
    <w:link w:val="TitleChar"/>
    <w:uiPriority w:val="10"/>
    <w:qFormat/>
    <w:rsid w:val="008F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0D"/>
    <w:pPr>
      <w:spacing w:before="160"/>
      <w:jc w:val="center"/>
    </w:pPr>
    <w:rPr>
      <w:i/>
      <w:iCs/>
      <w:color w:val="404040" w:themeColor="text1" w:themeTint="BF"/>
    </w:rPr>
  </w:style>
  <w:style w:type="character" w:customStyle="1" w:styleId="QuoteChar">
    <w:name w:val="Quote Char"/>
    <w:basedOn w:val="DefaultParagraphFont"/>
    <w:link w:val="Quote"/>
    <w:uiPriority w:val="29"/>
    <w:rsid w:val="008F500D"/>
    <w:rPr>
      <w:i/>
      <w:iCs/>
      <w:color w:val="404040" w:themeColor="text1" w:themeTint="BF"/>
    </w:rPr>
  </w:style>
  <w:style w:type="paragraph" w:styleId="ListParagraph">
    <w:name w:val="List Paragraph"/>
    <w:basedOn w:val="Normal"/>
    <w:uiPriority w:val="34"/>
    <w:qFormat/>
    <w:rsid w:val="008F500D"/>
    <w:pPr>
      <w:ind w:left="720"/>
      <w:contextualSpacing/>
    </w:pPr>
  </w:style>
  <w:style w:type="character" w:styleId="IntenseEmphasis">
    <w:name w:val="Intense Emphasis"/>
    <w:basedOn w:val="DefaultParagraphFont"/>
    <w:uiPriority w:val="21"/>
    <w:qFormat/>
    <w:rsid w:val="008F500D"/>
    <w:rPr>
      <w:i/>
      <w:iCs/>
      <w:color w:val="0F4761" w:themeColor="accent1" w:themeShade="BF"/>
    </w:rPr>
  </w:style>
  <w:style w:type="paragraph" w:styleId="IntenseQuote">
    <w:name w:val="Intense Quote"/>
    <w:basedOn w:val="Normal"/>
    <w:next w:val="Normal"/>
    <w:link w:val="IntenseQuoteChar"/>
    <w:uiPriority w:val="30"/>
    <w:qFormat/>
    <w:rsid w:val="008F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00D"/>
    <w:rPr>
      <w:i/>
      <w:iCs/>
      <w:color w:val="0F4761" w:themeColor="accent1" w:themeShade="BF"/>
    </w:rPr>
  </w:style>
  <w:style w:type="character" w:styleId="IntenseReference">
    <w:name w:val="Intense Reference"/>
    <w:basedOn w:val="DefaultParagraphFont"/>
    <w:uiPriority w:val="32"/>
    <w:qFormat/>
    <w:rsid w:val="008F500D"/>
    <w:rPr>
      <w:b/>
      <w:bCs/>
      <w:smallCaps/>
      <w:color w:val="0F4761" w:themeColor="accent1" w:themeShade="BF"/>
      <w:spacing w:val="5"/>
    </w:rPr>
  </w:style>
  <w:style w:type="character" w:styleId="Hyperlink">
    <w:name w:val="Hyperlink"/>
    <w:basedOn w:val="DefaultParagraphFont"/>
    <w:uiPriority w:val="99"/>
    <w:unhideWhenUsed/>
    <w:rsid w:val="008F500D"/>
    <w:rPr>
      <w:color w:val="467886" w:themeColor="hyperlink"/>
      <w:u w:val="single"/>
    </w:rPr>
  </w:style>
  <w:style w:type="character" w:styleId="UnresolvedMention">
    <w:name w:val="Unresolved Mention"/>
    <w:basedOn w:val="DefaultParagraphFont"/>
    <w:uiPriority w:val="99"/>
    <w:semiHidden/>
    <w:unhideWhenUsed/>
    <w:rsid w:val="008F5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gital.govt.nz/standards-and-guidance/technology-and-architecture/artificial-intelligence/public-service-artificial-intelligence-framewor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TKMLDC-1899142907-306910</_dlc_DocId>
    <_dlc_DocIdUrl xmlns="26365202-4b37-46f6-8f4a-657aef1497de">
      <Url>https://sscnz.sharepoint.com/sites/LDC/_layouts/15/DocIdRedir.aspx?ID=TKMLDC-1899142907-306910</Url>
      <Description>TKMLDC-1899142907-306910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214A5-D053-48C6-8D45-5A8465051562}">
  <ds:schemaRefs>
    <ds:schemaRef ds:uri="http://schemas.microsoft.com/sharepoint/events"/>
  </ds:schemaRefs>
</ds:datastoreItem>
</file>

<file path=customXml/itemProps2.xml><?xml version="1.0" encoding="utf-8"?>
<ds:datastoreItem xmlns:ds="http://schemas.openxmlformats.org/officeDocument/2006/customXml" ds:itemID="{5DBA7C28-C248-4C44-A7A3-F3A638265E16}">
  <ds:schemaRefs>
    <ds:schemaRef ds:uri="http://schemas.microsoft.com/sharepoint/v3/contenttype/forms"/>
  </ds:schemaRefs>
</ds:datastoreItem>
</file>

<file path=customXml/itemProps3.xml><?xml version="1.0" encoding="utf-8"?>
<ds:datastoreItem xmlns:ds="http://schemas.openxmlformats.org/officeDocument/2006/customXml" ds:itemID="{F76C0184-9668-413C-A714-48316C405F05}">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4.xml><?xml version="1.0" encoding="utf-8"?>
<ds:datastoreItem xmlns:ds="http://schemas.openxmlformats.org/officeDocument/2006/customXml" ds:itemID="{413EFFFC-2DC4-4BC3-A0DD-B544FCC0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1159</Words>
  <Characters>6275</Characters>
  <Application>Microsoft Office Word</Application>
  <DocSecurity>0</DocSecurity>
  <Lines>146</Lines>
  <Paragraphs>66</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McKenzie</dc:creator>
  <cp:keywords/>
  <dc:description/>
  <cp:lastModifiedBy>Kate Wakelin</cp:lastModifiedBy>
  <cp:revision>4</cp:revision>
  <dcterms:created xsi:type="dcterms:W3CDTF">2026-05-04T04:26:00Z</dcterms:created>
  <dcterms:modified xsi:type="dcterms:W3CDTF">2026-05-20T03:23:00Z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5fe85471-6d7e-4605-a5c7-3abb974c4d58</vt:lpwstr>
  </property>
  <property fmtid="{D5CDD505-2E9C-101B-9397-08002B2CF9AE}" pid="4" name="MediaServiceImageTags">
    <vt:lpwstr/>
  </property>
  <property fmtid="{D5CDD505-2E9C-101B-9397-08002B2CF9AE}" pid="5" name="docLang">
    <vt:lpwstr>en</vt:lpwstr>
  </property>
</Properties>
</file>