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C323" w14:textId="359ADB6E" w:rsidR="00F3165E" w:rsidRDefault="00325DEF" w:rsidP="00325DEF">
      <w:pPr>
        <w:pStyle w:val="Heading1"/>
        <w:rPr>
          <w:rFonts w:hint="eastAsia"/>
        </w:rPr>
      </w:pPr>
      <w:r w:rsidRPr="00325DEF">
        <w:t>What the Public Service is currently doing</w:t>
      </w:r>
    </w:p>
    <w:p w14:paraId="0DE86436" w14:textId="77777777" w:rsidR="00325DEF" w:rsidRPr="00325DEF" w:rsidRDefault="00325DEF" w:rsidP="00325DEF">
      <w:r w:rsidRPr="00325DEF">
        <w:t>AI use is expanding across the public service. While it has largely been used for internal productivity and decision support, some agencies are now expanding its use to customer-facing services.</w:t>
      </w:r>
    </w:p>
    <w:p w14:paraId="27592B15" w14:textId="77777777" w:rsidR="00325DEF" w:rsidRPr="00325DEF" w:rsidRDefault="00325DEF" w:rsidP="00325DEF">
      <w:r w:rsidRPr="00325DEF">
        <w:t>Let's explore some examples of how AI is being used within the New Zealand Public Service and think about the value that AI might be able to add.</w:t>
      </w:r>
    </w:p>
    <w:p w14:paraId="1CE4B319" w14:textId="77777777" w:rsidR="00325DEF" w:rsidRDefault="00325DEF" w:rsidP="00325DEF"/>
    <w:p w14:paraId="758D60A8" w14:textId="77777777" w:rsidR="00325DEF" w:rsidRPr="00325DEF" w:rsidRDefault="00325DEF" w:rsidP="00325DEF">
      <w:pPr>
        <w:pStyle w:val="Heading2"/>
        <w:rPr>
          <w:rFonts w:hint="eastAsia"/>
        </w:rPr>
      </w:pPr>
      <w:r w:rsidRPr="00325DEF">
        <w:t>Current examples of AI use</w:t>
      </w:r>
    </w:p>
    <w:p w14:paraId="6D90F2F0" w14:textId="77777777" w:rsidR="00325DEF" w:rsidRPr="00325DEF" w:rsidRDefault="00325DEF" w:rsidP="00325DEF">
      <w:r w:rsidRPr="00325DEF">
        <w:t>In section one, we explored some of the benefits that AI can create. In the examples below, we will look at 3 agencies within the New Zealand Public Service that are using AI to streamline everyday work, support better decision making, and improve their public-facing services.</w:t>
      </w:r>
    </w:p>
    <w:p w14:paraId="6CC4C60A" w14:textId="1BCE1295" w:rsidR="00325DEF" w:rsidRPr="00325DEF" w:rsidRDefault="00325DEF" w:rsidP="00325DEF">
      <w:r>
        <w:rPr>
          <w:b/>
          <w:bCs/>
        </w:rPr>
        <w:t>Read</w:t>
      </w:r>
      <w:r w:rsidRPr="00325DEF">
        <w:rPr>
          <w:b/>
          <w:bCs/>
        </w:rPr>
        <w:t xml:space="preserve"> below to see current examples of AI use in New Zealand Public Service.</w:t>
      </w:r>
    </w:p>
    <w:p w14:paraId="53EE5A5A" w14:textId="77777777" w:rsidR="00325DEF" w:rsidRPr="00325DEF" w:rsidRDefault="00325DEF" w:rsidP="00325DEF">
      <w:r w:rsidRPr="00325DEF">
        <w:t>You can read about these AI use cases in more detail at the end of this module.</w:t>
      </w:r>
    </w:p>
    <w:p w14:paraId="444E2367" w14:textId="5AC7B648" w:rsidR="00325DEF" w:rsidRDefault="00325DEF" w:rsidP="00325DEF">
      <w:pPr>
        <w:pStyle w:val="Heading3"/>
        <w:rPr>
          <w:rFonts w:hint="eastAsia"/>
        </w:rPr>
      </w:pPr>
      <w:r>
        <w:t>Streamlining everyday work</w:t>
      </w:r>
    </w:p>
    <w:p w14:paraId="4F16AE70" w14:textId="77777777" w:rsidR="00325DEF" w:rsidRDefault="00325DEF" w:rsidP="00325DEF">
      <w:r w:rsidRPr="00325DEF">
        <w:t xml:space="preserve">NZQA is using supervised machine learning to support better and faster assessments in NCEA Literacy Writing. </w:t>
      </w:r>
    </w:p>
    <w:p w14:paraId="0685AA14" w14:textId="77777777" w:rsidR="00325DEF" w:rsidRDefault="00325DEF" w:rsidP="00325DEF">
      <w:r w:rsidRPr="00325DEF">
        <w:t>AI assists by scoring short</w:t>
      </w:r>
      <w:r w:rsidRPr="00325DEF">
        <w:noBreakHyphen/>
        <w:t xml:space="preserve">form student responses against established criteria, providing consistent analysis at scale while keeping humans central to final judgement. </w:t>
      </w:r>
    </w:p>
    <w:p w14:paraId="66EE7801" w14:textId="77777777" w:rsidR="00325DEF" w:rsidRDefault="00325DEF" w:rsidP="00325DEF">
      <w:r w:rsidRPr="00325DEF">
        <w:t>Large</w:t>
      </w:r>
      <w:r w:rsidRPr="00325DEF">
        <w:noBreakHyphen/>
        <w:t xml:space="preserve">scale trials showed agreement rates between AI and human marking comparable to experienced human markers, and a significant reduction in the time taken to release results. </w:t>
      </w:r>
    </w:p>
    <w:p w14:paraId="7843B881" w14:textId="50DA6F59" w:rsidR="00325DEF" w:rsidRDefault="00325DEF" w:rsidP="00325DEF">
      <w:r w:rsidRPr="00325DEF">
        <w:t>This use of AI improves decision timeliness and consistency, while safeguarding quality through human oversight and double</w:t>
      </w:r>
      <w:r w:rsidRPr="00325DEF">
        <w:noBreakHyphen/>
        <w:t>marking processes.</w:t>
      </w:r>
    </w:p>
    <w:p w14:paraId="48C964B6" w14:textId="2F772B2D" w:rsidR="00325DEF" w:rsidRDefault="00325DEF" w:rsidP="00325DEF">
      <w:pPr>
        <w:pStyle w:val="Heading3"/>
        <w:rPr>
          <w:rFonts w:hint="eastAsia"/>
        </w:rPr>
      </w:pPr>
      <w:r>
        <w:t>Supporting better decision-making</w:t>
      </w:r>
    </w:p>
    <w:p w14:paraId="2DC1BD29" w14:textId="77777777" w:rsidR="00325DEF" w:rsidRDefault="00325DEF" w:rsidP="00325DEF">
      <w:r w:rsidRPr="00325DEF">
        <w:t xml:space="preserve">Inland Revenue piloted an AI tool in its contact centre that generates draft summaries of customer calls for human agent review. </w:t>
      </w:r>
    </w:p>
    <w:p w14:paraId="36EEBC92" w14:textId="77777777" w:rsidR="00325DEF" w:rsidRDefault="00325DEF" w:rsidP="00325DEF">
      <w:r w:rsidRPr="00325DEF">
        <w:t xml:space="preserve">The summaries are checked by a contact centre agent before being copied to the customer record, and the AI-generated summary is not retained. Inland Revenue reported a 17% reduction in after-call work time in the initial pilot, with no degradation in note quality. </w:t>
      </w:r>
    </w:p>
    <w:p w14:paraId="51BFB0C2" w14:textId="7C8289D5" w:rsidR="00325DEF" w:rsidRPr="00325DEF" w:rsidRDefault="00325DEF" w:rsidP="00325DEF">
      <w:r w:rsidRPr="00325DEF">
        <w:t>Based on pilot findings, it expects a reduction of 1.47 minutes per call, equivalent to 32,000 to 34,000 hours annually within the contact centre.</w:t>
      </w:r>
    </w:p>
    <w:p w14:paraId="088951EB" w14:textId="4D91DD4C" w:rsidR="00325DEF" w:rsidRDefault="00325DEF" w:rsidP="00325DEF">
      <w:pPr>
        <w:pStyle w:val="Heading3"/>
        <w:rPr>
          <w:rFonts w:hint="eastAsia"/>
        </w:rPr>
      </w:pPr>
      <w:r>
        <w:t>Improving public-facing services</w:t>
      </w:r>
    </w:p>
    <w:p w14:paraId="353CE0E8" w14:textId="77777777" w:rsidR="00325DEF" w:rsidRDefault="00325DEF" w:rsidP="00325DEF">
      <w:r w:rsidRPr="00325DEF">
        <w:t xml:space="preserve">Health New Zealand is streamlining everyday clinical work through the national deployment of the Heidi AI Scribe in emergency departments. </w:t>
      </w:r>
    </w:p>
    <w:p w14:paraId="6B7397A1" w14:textId="77777777" w:rsidR="00325DEF" w:rsidRDefault="00325DEF" w:rsidP="00325DEF">
      <w:r w:rsidRPr="00325DEF">
        <w:t>The tool uses generative AI to automatically draft clinical notes, referral letters, and follow</w:t>
      </w:r>
      <w:r w:rsidRPr="00325DEF">
        <w:noBreakHyphen/>
        <w:t xml:space="preserve">up summaries from clinician–patient conversations, significantly reducing the time clinicians spend on documentation. </w:t>
      </w:r>
    </w:p>
    <w:p w14:paraId="09A3792E" w14:textId="7B8D0130" w:rsidR="00325DEF" w:rsidRPr="00325DEF" w:rsidRDefault="00325DEF" w:rsidP="00325DEF">
      <w:r w:rsidRPr="00325DEF">
        <w:t>Clinicians review and approve all content, ensuring accountability is retained. This has reduced documentation time by over 60</w:t>
      </w:r>
      <w:r>
        <w:t>%</w:t>
      </w:r>
      <w:r w:rsidRPr="00325DEF">
        <w:t>, cut after</w:t>
      </w:r>
      <w:r w:rsidRPr="00325DEF">
        <w:noBreakHyphen/>
        <w:t>hours administrative work, and enabled clinicians to see more patients per shift, directly easing pressure in high</w:t>
      </w:r>
      <w:r w:rsidRPr="00325DEF">
        <w:noBreakHyphen/>
        <w:t>demand emergency settings.</w:t>
      </w:r>
    </w:p>
    <w:p w14:paraId="2B8B3B36" w14:textId="77777777" w:rsidR="00325DEF" w:rsidRDefault="00325DEF" w:rsidP="00325DEF"/>
    <w:p w14:paraId="1DAF9C56" w14:textId="77777777" w:rsidR="00325DEF" w:rsidRDefault="00325DEF" w:rsidP="00325DEF">
      <w:pPr>
        <w:pStyle w:val="Heading2"/>
        <w:rPr>
          <w:rFonts w:hint="eastAsia"/>
        </w:rPr>
      </w:pPr>
      <w:r w:rsidRPr="00325DEF">
        <w:t>Considering the value of AI</w:t>
      </w:r>
    </w:p>
    <w:p w14:paraId="43555522" w14:textId="77777777" w:rsidR="00325DEF" w:rsidRPr="00325DEF" w:rsidRDefault="00325DEF" w:rsidP="00325DEF">
      <w:r w:rsidRPr="00325DEF">
        <w:t>AI can improve a task or streamline a process, but that does not necessarily mean it is creating significant benefit. The greatest impact tends to come when AI contributes to outcomes that are meaningful for an agency and the communities it serves.</w:t>
      </w:r>
    </w:p>
    <w:p w14:paraId="62E9D49C" w14:textId="77777777" w:rsidR="00325DEF" w:rsidRPr="00325DEF" w:rsidRDefault="00325DEF" w:rsidP="00325DEF">
      <w:r w:rsidRPr="00325DEF">
        <w:t>Whether you are using AI tools in your day-to-day work, developing an AI use case, or reviewing a proposal from another team, it helps to consider the kind of value the AI aims to create, and for whom.</w:t>
      </w:r>
    </w:p>
    <w:p w14:paraId="706CA7A0" w14:textId="77777777" w:rsidR="00325DEF" w:rsidRPr="00325DEF" w:rsidRDefault="00325DEF" w:rsidP="00325DEF">
      <w:r w:rsidRPr="00325DEF">
        <w:t>Value may take many forms: timeliness and consistency, better use of staff time, easier access to services, or improved customer experience. There is no single definition. What matters is clarity about what success looks like in your particular context.</w:t>
      </w:r>
    </w:p>
    <w:p w14:paraId="32E4A93A" w14:textId="77777777" w:rsidR="00325DEF" w:rsidRPr="00325DEF" w:rsidRDefault="00325DEF" w:rsidP="00325DEF">
      <w:r w:rsidRPr="00325DEF">
        <w:t>Four questions can help focus early thinking:</w:t>
      </w:r>
    </w:p>
    <w:p w14:paraId="692EE4D8" w14:textId="77777777" w:rsidR="00325DEF" w:rsidRPr="00325DEF" w:rsidRDefault="00325DEF" w:rsidP="00325DEF">
      <w:pPr>
        <w:pStyle w:val="ListParagraph"/>
        <w:numPr>
          <w:ilvl w:val="0"/>
          <w:numId w:val="1"/>
        </w:numPr>
      </w:pPr>
      <w:r w:rsidRPr="00325DEF">
        <w:rPr>
          <w:b/>
          <w:bCs/>
        </w:rPr>
        <w:t>What issue is this intended to address?</w:t>
      </w:r>
    </w:p>
    <w:p w14:paraId="1DCAAED8" w14:textId="77777777" w:rsidR="00325DEF" w:rsidRPr="00325DEF" w:rsidRDefault="00325DEF" w:rsidP="00325DEF">
      <w:pPr>
        <w:pStyle w:val="ListParagraph"/>
        <w:numPr>
          <w:ilvl w:val="0"/>
          <w:numId w:val="1"/>
        </w:numPr>
      </w:pPr>
      <w:r w:rsidRPr="00325DEF">
        <w:rPr>
          <w:b/>
          <w:bCs/>
        </w:rPr>
        <w:t>Who may benefit, and in what way?</w:t>
      </w:r>
    </w:p>
    <w:p w14:paraId="17865C8F" w14:textId="77777777" w:rsidR="00325DEF" w:rsidRPr="00325DEF" w:rsidRDefault="00325DEF" w:rsidP="00325DEF">
      <w:pPr>
        <w:pStyle w:val="ListParagraph"/>
        <w:numPr>
          <w:ilvl w:val="0"/>
          <w:numId w:val="1"/>
        </w:numPr>
      </w:pPr>
      <w:r w:rsidRPr="00325DEF">
        <w:rPr>
          <w:b/>
          <w:bCs/>
        </w:rPr>
        <w:t>What would success look like?</w:t>
      </w:r>
    </w:p>
    <w:p w14:paraId="0EF8459D" w14:textId="77777777" w:rsidR="00325DEF" w:rsidRPr="00325DEF" w:rsidRDefault="00325DEF" w:rsidP="00325DEF">
      <w:pPr>
        <w:pStyle w:val="ListParagraph"/>
        <w:numPr>
          <w:ilvl w:val="0"/>
          <w:numId w:val="1"/>
        </w:numPr>
      </w:pPr>
      <w:r w:rsidRPr="00325DEF">
        <w:rPr>
          <w:b/>
          <w:bCs/>
        </w:rPr>
        <w:t>How might we know if it is working?</w:t>
      </w:r>
    </w:p>
    <w:p w14:paraId="34728B79" w14:textId="77777777" w:rsidR="00325DEF" w:rsidRPr="00325DEF" w:rsidRDefault="00325DEF" w:rsidP="00325DEF">
      <w:pPr>
        <w:pStyle w:val="ListParagraph"/>
      </w:pPr>
    </w:p>
    <w:p w14:paraId="021932DD" w14:textId="77777777" w:rsidR="00325DEF" w:rsidRDefault="00325DEF" w:rsidP="00325DEF">
      <w:r w:rsidRPr="00325DEF">
        <w:t>Some agencies begin with small-scale pilots or proofs of concept to explore whether a proposed AI use delivers value in practice. These early stages can support learning, adaptation, and informed decision-making.</w:t>
      </w:r>
    </w:p>
    <w:p w14:paraId="4485FFD6" w14:textId="77777777" w:rsidR="00325DEF" w:rsidRPr="00325DEF" w:rsidRDefault="00325DEF" w:rsidP="00325DEF"/>
    <w:p w14:paraId="3F05FC63" w14:textId="77777777" w:rsidR="00325DEF" w:rsidRPr="00325DEF" w:rsidRDefault="00325DEF" w:rsidP="00325DEF">
      <w:pPr>
        <w:pStyle w:val="Heading2"/>
        <w:rPr>
          <w:rFonts w:hint="eastAsia"/>
        </w:rPr>
      </w:pPr>
      <w:r w:rsidRPr="00325DEF">
        <w:t>Impact areas to consider</w:t>
      </w:r>
    </w:p>
    <w:p w14:paraId="5F202946" w14:textId="77777777" w:rsidR="00325DEF" w:rsidRPr="00325DEF" w:rsidRDefault="00325DEF" w:rsidP="00325DEF">
      <w:r w:rsidRPr="00325DEF">
        <w:t>The table below outlines dimensions commonly used to consider the potential impacts of AI in public sector settings. Not every area will be relevant to every context.</w:t>
      </w:r>
    </w:p>
    <w:tbl>
      <w:tblPr>
        <w:tblW w:w="902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3400"/>
        <w:gridCol w:w="3426"/>
      </w:tblGrid>
      <w:tr w:rsidR="00325DEF" w:rsidRPr="00325DEF" w14:paraId="638C6BEA" w14:textId="77777777" w:rsidTr="00325DEF">
        <w:trPr>
          <w:trHeight w:val="525"/>
        </w:trPr>
        <w:tc>
          <w:tcPr>
            <w:tcW w:w="2200" w:type="dxa"/>
            <w:tcBorders>
              <w:top w:val="single" w:sz="4" w:space="0" w:color="CCCCCC"/>
              <w:left w:val="single" w:sz="4" w:space="0" w:color="CCCCCC"/>
              <w:bottom w:val="single" w:sz="4" w:space="0" w:color="CCCCCC"/>
              <w:right w:val="single" w:sz="4" w:space="0" w:color="CCCCCC"/>
            </w:tcBorders>
            <w:shd w:val="clear" w:color="auto" w:fill="5B991F"/>
            <w:tcMar>
              <w:top w:w="80" w:type="dxa"/>
              <w:left w:w="120" w:type="dxa"/>
              <w:bottom w:w="80" w:type="dxa"/>
              <w:right w:w="120" w:type="dxa"/>
            </w:tcMar>
            <w:hideMark/>
          </w:tcPr>
          <w:p w14:paraId="24B8FEAC" w14:textId="77777777" w:rsidR="00325DEF" w:rsidRPr="00325DEF" w:rsidRDefault="00325DEF" w:rsidP="00325DEF">
            <w:pPr>
              <w:rPr>
                <w:color w:val="FFFFFF" w:themeColor="background1"/>
              </w:rPr>
            </w:pPr>
            <w:r w:rsidRPr="00325DEF">
              <w:rPr>
                <w:b/>
                <w:bCs/>
                <w:color w:val="FFFFFF" w:themeColor="background1"/>
              </w:rPr>
              <w:t>Impact Area</w:t>
            </w:r>
          </w:p>
        </w:tc>
        <w:tc>
          <w:tcPr>
            <w:tcW w:w="3400" w:type="dxa"/>
            <w:tcBorders>
              <w:top w:val="single" w:sz="4" w:space="0" w:color="CCCCCC"/>
              <w:left w:val="single" w:sz="4" w:space="0" w:color="CCCCCC"/>
              <w:bottom w:val="single" w:sz="4" w:space="0" w:color="CCCCCC"/>
              <w:right w:val="single" w:sz="4" w:space="0" w:color="CCCCCC"/>
            </w:tcBorders>
            <w:shd w:val="clear" w:color="auto" w:fill="5B991F"/>
            <w:tcMar>
              <w:top w:w="80" w:type="dxa"/>
              <w:left w:w="120" w:type="dxa"/>
              <w:bottom w:w="80" w:type="dxa"/>
              <w:right w:w="120" w:type="dxa"/>
            </w:tcMar>
            <w:hideMark/>
          </w:tcPr>
          <w:p w14:paraId="680EC4E8" w14:textId="77777777" w:rsidR="00325DEF" w:rsidRPr="00325DEF" w:rsidRDefault="00325DEF" w:rsidP="00325DEF">
            <w:pPr>
              <w:rPr>
                <w:color w:val="FFFFFF" w:themeColor="background1"/>
              </w:rPr>
            </w:pPr>
            <w:r w:rsidRPr="00325DEF">
              <w:rPr>
                <w:b/>
                <w:bCs/>
                <w:color w:val="FFFFFF" w:themeColor="background1"/>
              </w:rPr>
              <w:t>What to Look For</w:t>
            </w:r>
          </w:p>
        </w:tc>
        <w:tc>
          <w:tcPr>
            <w:tcW w:w="3426" w:type="dxa"/>
            <w:tcBorders>
              <w:top w:val="single" w:sz="4" w:space="0" w:color="CCCCCC"/>
              <w:left w:val="single" w:sz="4" w:space="0" w:color="CCCCCC"/>
              <w:bottom w:val="single" w:sz="4" w:space="0" w:color="CCCCCC"/>
              <w:right w:val="single" w:sz="4" w:space="0" w:color="CCCCCC"/>
            </w:tcBorders>
            <w:shd w:val="clear" w:color="auto" w:fill="5B991F"/>
            <w:tcMar>
              <w:top w:w="80" w:type="dxa"/>
              <w:left w:w="120" w:type="dxa"/>
              <w:bottom w:w="80" w:type="dxa"/>
              <w:right w:w="120" w:type="dxa"/>
            </w:tcMar>
            <w:hideMark/>
          </w:tcPr>
          <w:p w14:paraId="19A4D502" w14:textId="77777777" w:rsidR="00325DEF" w:rsidRPr="00325DEF" w:rsidRDefault="00325DEF" w:rsidP="00325DEF">
            <w:pPr>
              <w:rPr>
                <w:color w:val="FFFFFF" w:themeColor="background1"/>
              </w:rPr>
            </w:pPr>
            <w:r w:rsidRPr="00325DEF">
              <w:rPr>
                <w:b/>
                <w:bCs/>
                <w:color w:val="FFFFFF" w:themeColor="background1"/>
              </w:rPr>
              <w:t>Possible Ways to Assess Impact</w:t>
            </w:r>
          </w:p>
        </w:tc>
      </w:tr>
      <w:tr w:rsidR="00325DEF" w:rsidRPr="00325DEF" w14:paraId="3563E3EB"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1D14E712" w14:textId="77777777" w:rsidR="00325DEF" w:rsidRPr="00325DEF" w:rsidRDefault="00325DEF" w:rsidP="00325DEF">
            <w:r w:rsidRPr="00325DEF">
              <w:t>Operational Efficiency</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45F16911" w14:textId="77777777" w:rsidR="00325DEF" w:rsidRPr="00325DEF" w:rsidRDefault="00325DEF" w:rsidP="00325DEF">
            <w:r w:rsidRPr="00325DEF">
              <w:t>Reduced time on tasks, fewer manual steps, fewer errors</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9588E9C" w14:textId="77777777" w:rsidR="00325DEF" w:rsidRPr="00325DEF" w:rsidRDefault="00325DEF" w:rsidP="00325DEF">
            <w:r w:rsidRPr="00325DEF">
              <w:t>Compare time or effort before and after. Conduct simple workflow reviews.</w:t>
            </w:r>
          </w:p>
        </w:tc>
      </w:tr>
      <w:tr w:rsidR="00325DEF" w:rsidRPr="00325DEF" w14:paraId="2E502338"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42B81C4" w14:textId="77777777" w:rsidR="00325DEF" w:rsidRPr="00325DEF" w:rsidRDefault="00325DEF" w:rsidP="00325DEF">
            <w:r w:rsidRPr="00325DEF">
              <w:t>Financial Impact</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241E1C6A" w14:textId="77777777" w:rsidR="00325DEF" w:rsidRPr="00325DEF" w:rsidRDefault="00325DEF" w:rsidP="00325DEF">
            <w:r w:rsidRPr="00325DEF">
              <w:t>Reduced operating costs, avoided costs, improved use of resources</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3234CAAD" w14:textId="77777777" w:rsidR="00325DEF" w:rsidRPr="00325DEF" w:rsidRDefault="00325DEF" w:rsidP="00325DEF">
            <w:r w:rsidRPr="00325DEF">
              <w:t>Consider resource use over time. Compare budgets or projected savings, if available.</w:t>
            </w:r>
          </w:p>
        </w:tc>
      </w:tr>
      <w:tr w:rsidR="00325DEF" w:rsidRPr="00325DEF" w14:paraId="3A46EC73"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363E30D" w14:textId="77777777" w:rsidR="00325DEF" w:rsidRPr="00325DEF" w:rsidRDefault="00325DEF" w:rsidP="00325DEF">
            <w:r w:rsidRPr="00325DEF">
              <w:t>Service Quality</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3A0A3D0B" w14:textId="77777777" w:rsidR="00325DEF" w:rsidRPr="00325DEF" w:rsidRDefault="00325DEF" w:rsidP="00325DEF">
            <w:r w:rsidRPr="00325DEF">
              <w:t>More consistent delivery, quicker responses, fewer complaints</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35D4A83D" w14:textId="77777777" w:rsidR="00325DEF" w:rsidRPr="00325DEF" w:rsidRDefault="00325DEF" w:rsidP="00325DEF">
            <w:r w:rsidRPr="00325DEF">
              <w:t>Track resolution times, service levels, or feedback on quality of service.</w:t>
            </w:r>
          </w:p>
        </w:tc>
      </w:tr>
      <w:tr w:rsidR="00325DEF" w:rsidRPr="00325DEF" w14:paraId="337B53DF"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4DE9CBC5" w14:textId="77777777" w:rsidR="00325DEF" w:rsidRPr="00325DEF" w:rsidRDefault="00325DEF" w:rsidP="00325DEF">
            <w:r w:rsidRPr="00325DEF">
              <w:t>Employee Experience</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1D3B3629" w14:textId="77777777" w:rsidR="00325DEF" w:rsidRPr="00325DEF" w:rsidRDefault="00325DEF" w:rsidP="00325DEF">
            <w:r w:rsidRPr="00325DEF">
              <w:t>Reduced repetitive work, more time for meaningful tasks</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03998476" w14:textId="77777777" w:rsidR="00325DEF" w:rsidRPr="00325DEF" w:rsidRDefault="00325DEF" w:rsidP="00325DEF">
            <w:r w:rsidRPr="00325DEF">
              <w:t>Use staff feedback or observation to explore changes in work experience.</w:t>
            </w:r>
          </w:p>
        </w:tc>
      </w:tr>
      <w:tr w:rsidR="00325DEF" w:rsidRPr="00325DEF" w14:paraId="2407715E"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1D4D63E9" w14:textId="77777777" w:rsidR="00325DEF" w:rsidRPr="00325DEF" w:rsidRDefault="00325DEF" w:rsidP="00325DEF">
            <w:r w:rsidRPr="00325DEF">
              <w:t>Public Experience</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3CFEA994" w14:textId="77777777" w:rsidR="00325DEF" w:rsidRPr="00325DEF" w:rsidRDefault="00325DEF" w:rsidP="00325DEF">
            <w:r w:rsidRPr="00325DEF">
              <w:t>Easier access to services, faster resolution, improved satisfaction</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10BC54A1" w14:textId="77777777" w:rsidR="00325DEF" w:rsidRPr="00325DEF" w:rsidRDefault="00325DEF" w:rsidP="00325DEF">
            <w:r w:rsidRPr="00325DEF">
              <w:t>Use public feedback or digital analytics, where appropriate.</w:t>
            </w:r>
          </w:p>
        </w:tc>
      </w:tr>
      <w:tr w:rsidR="00325DEF" w:rsidRPr="00325DEF" w14:paraId="6814B270"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4C94E48F" w14:textId="77777777" w:rsidR="00325DEF" w:rsidRPr="00325DEF" w:rsidRDefault="00325DEF" w:rsidP="00325DEF">
            <w:r w:rsidRPr="00325DEF">
              <w:t>Adoption and Usage</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071131BF" w14:textId="77777777" w:rsidR="00325DEF" w:rsidRPr="00325DEF" w:rsidRDefault="00325DEF" w:rsidP="00325DEF">
            <w:r w:rsidRPr="00325DEF">
              <w:t>Engagement with AI tools by staff or the public</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39AE202A" w14:textId="77777777" w:rsidR="00325DEF" w:rsidRPr="00325DEF" w:rsidRDefault="00325DEF" w:rsidP="00325DEF">
            <w:r w:rsidRPr="00325DEF">
              <w:t>Monitor uptake, usage levels, or interest in further use.</w:t>
            </w:r>
          </w:p>
        </w:tc>
      </w:tr>
      <w:tr w:rsidR="00325DEF" w:rsidRPr="00325DEF" w14:paraId="09C4CC3B"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7D0E61F4" w14:textId="77777777" w:rsidR="00325DEF" w:rsidRPr="00325DEF" w:rsidRDefault="00325DEF" w:rsidP="00325DEF">
            <w:r w:rsidRPr="00325DEF">
              <w:t>Trust and Ethics</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2BD0C3BB" w14:textId="77777777" w:rsidR="00325DEF" w:rsidRPr="00325DEF" w:rsidRDefault="00325DEF" w:rsidP="00325DEF">
            <w:r w:rsidRPr="00325DEF">
              <w:t>Transparency, consistency, cultural alignment, and public confidence</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02F19A9B" w14:textId="77777777" w:rsidR="00325DEF" w:rsidRPr="00325DEF" w:rsidRDefault="00325DEF" w:rsidP="00325DEF">
            <w:r w:rsidRPr="00325DEF">
              <w:t>Consider whether decisions are explainable. Record oversight activity and public feedback.</w:t>
            </w:r>
          </w:p>
        </w:tc>
      </w:tr>
      <w:tr w:rsidR="00325DEF" w:rsidRPr="00325DEF" w14:paraId="746468BB"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DDBB572" w14:textId="77777777" w:rsidR="00325DEF" w:rsidRPr="00325DEF" w:rsidRDefault="00325DEF" w:rsidP="00325DEF">
            <w:r w:rsidRPr="00325DEF">
              <w:t>Economic Growth Enablement</w:t>
            </w:r>
          </w:p>
        </w:tc>
        <w:tc>
          <w:tcPr>
            <w:tcW w:w="3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0CCC838" w14:textId="77777777" w:rsidR="00325DEF" w:rsidRPr="00325DEF" w:rsidRDefault="00325DEF" w:rsidP="00325DEF">
            <w:r w:rsidRPr="00325DEF">
              <w:t>Improved regulatory efficiency or service processes that support business and innovation</w:t>
            </w:r>
          </w:p>
        </w:tc>
        <w:tc>
          <w:tcPr>
            <w:tcW w:w="34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hideMark/>
          </w:tcPr>
          <w:p w14:paraId="5B29F9E3" w14:textId="77777777" w:rsidR="00325DEF" w:rsidRPr="00325DEF" w:rsidRDefault="00325DEF" w:rsidP="00325DEF">
            <w:r w:rsidRPr="00325DEF">
              <w:t>Track time or cost savings for businesses interacting with the public sector, service turnaround times, or business satisfaction with public services</w:t>
            </w:r>
          </w:p>
        </w:tc>
      </w:tr>
    </w:tbl>
    <w:p w14:paraId="3F8E4ED8" w14:textId="77777777" w:rsidR="00325DEF" w:rsidRDefault="00325DEF" w:rsidP="00325DEF"/>
    <w:p w14:paraId="18B17C89" w14:textId="77777777" w:rsidR="00325DEF" w:rsidRDefault="00325DEF" w:rsidP="00325DEF">
      <w:pPr>
        <w:pStyle w:val="Heading2"/>
        <w:rPr>
          <w:rFonts w:hint="eastAsia"/>
        </w:rPr>
      </w:pPr>
      <w:r w:rsidRPr="00325DEF">
        <w:t>Imagine this...</w:t>
      </w:r>
    </w:p>
    <w:p w14:paraId="720FD713" w14:textId="77777777" w:rsidR="00325DEF" w:rsidRPr="00325DEF" w:rsidRDefault="00325DEF" w:rsidP="00325DEF">
      <w:r w:rsidRPr="00325DEF">
        <w:t>An agency is trialling an AI-powered assistant on one page of its website to help people access information about specific public services. If a team were involved with this project, what would they measure to understand its value and impact?</w:t>
      </w:r>
    </w:p>
    <w:p w14:paraId="64BAE93D" w14:textId="60AC03DF" w:rsidR="00325DEF" w:rsidRPr="00325DEF" w:rsidRDefault="00325DEF" w:rsidP="00325DEF">
      <w:r>
        <w:rPr>
          <w:b/>
          <w:bCs/>
        </w:rPr>
        <w:t>Read</w:t>
      </w:r>
      <w:r w:rsidRPr="00325DEF">
        <w:rPr>
          <w:b/>
          <w:bCs/>
        </w:rPr>
        <w:t xml:space="preserve"> below for some ideas to consider.</w:t>
      </w:r>
    </w:p>
    <w:tbl>
      <w:tblPr>
        <w:tblStyle w:val="TableGrid"/>
        <w:tblW w:w="0" w:type="auto"/>
        <w:tblLook w:val="04A0" w:firstRow="1" w:lastRow="0" w:firstColumn="1" w:lastColumn="0" w:noHBand="0" w:noVBand="1"/>
      </w:tblPr>
      <w:tblGrid>
        <w:gridCol w:w="2154"/>
        <w:gridCol w:w="2376"/>
        <w:gridCol w:w="2255"/>
        <w:gridCol w:w="2231"/>
      </w:tblGrid>
      <w:tr w:rsidR="00325DEF" w:rsidRPr="00325DEF" w14:paraId="1B16EEF3" w14:textId="77777777" w:rsidTr="00325DEF">
        <w:tc>
          <w:tcPr>
            <w:tcW w:w="2154" w:type="dxa"/>
            <w:tcBorders>
              <w:top w:val="single" w:sz="4" w:space="0" w:color="auto"/>
              <w:left w:val="single" w:sz="4" w:space="0" w:color="auto"/>
              <w:bottom w:val="single" w:sz="4" w:space="0" w:color="auto"/>
              <w:right w:val="single" w:sz="4" w:space="0" w:color="auto"/>
            </w:tcBorders>
            <w:shd w:val="clear" w:color="auto" w:fill="5B991F"/>
          </w:tcPr>
          <w:p w14:paraId="24A4B72D" w14:textId="18E21228" w:rsidR="00325DEF" w:rsidRPr="00325DEF" w:rsidRDefault="00325DEF" w:rsidP="00325DEF">
            <w:pPr>
              <w:spacing w:after="160" w:line="278" w:lineRule="auto"/>
              <w:rPr>
                <w:b/>
                <w:bCs/>
                <w:color w:val="FFFFFF" w:themeColor="background1"/>
              </w:rPr>
            </w:pPr>
            <w:r w:rsidRPr="00325DEF">
              <w:rPr>
                <w:b/>
                <w:bCs/>
                <w:color w:val="FFFFFF" w:themeColor="background1"/>
              </w:rPr>
              <w:t>Operational Efficiency</w:t>
            </w:r>
          </w:p>
        </w:tc>
        <w:tc>
          <w:tcPr>
            <w:tcW w:w="2376" w:type="dxa"/>
            <w:tcBorders>
              <w:top w:val="single" w:sz="4" w:space="0" w:color="auto"/>
              <w:left w:val="single" w:sz="4" w:space="0" w:color="auto"/>
              <w:bottom w:val="single" w:sz="4" w:space="0" w:color="auto"/>
              <w:right w:val="single" w:sz="4" w:space="0" w:color="auto"/>
            </w:tcBorders>
            <w:shd w:val="clear" w:color="auto" w:fill="5B991F"/>
          </w:tcPr>
          <w:p w14:paraId="1960C41F" w14:textId="77777777" w:rsidR="00325DEF" w:rsidRPr="00325DEF" w:rsidRDefault="00325DEF" w:rsidP="00325DEF">
            <w:pPr>
              <w:spacing w:after="160" w:line="278" w:lineRule="auto"/>
              <w:rPr>
                <w:b/>
                <w:bCs/>
                <w:color w:val="FFFFFF" w:themeColor="background1"/>
              </w:rPr>
            </w:pPr>
            <w:r w:rsidRPr="00325DEF">
              <w:rPr>
                <w:b/>
                <w:bCs/>
                <w:color w:val="FFFFFF" w:themeColor="background1"/>
              </w:rPr>
              <w:t>Service Quality</w:t>
            </w:r>
          </w:p>
          <w:p w14:paraId="5E14089F" w14:textId="77777777" w:rsidR="00325DEF" w:rsidRPr="00325DEF" w:rsidRDefault="00325DEF" w:rsidP="00325DEF">
            <w:pPr>
              <w:rPr>
                <w:b/>
                <w:bCs/>
                <w:color w:val="FFFFFF" w:themeColor="background1"/>
              </w:rPr>
            </w:pPr>
          </w:p>
        </w:tc>
        <w:tc>
          <w:tcPr>
            <w:tcW w:w="2255" w:type="dxa"/>
            <w:tcBorders>
              <w:top w:val="single" w:sz="4" w:space="0" w:color="auto"/>
              <w:left w:val="single" w:sz="4" w:space="0" w:color="auto"/>
              <w:bottom w:val="single" w:sz="4" w:space="0" w:color="auto"/>
              <w:right w:val="single" w:sz="4" w:space="0" w:color="auto"/>
            </w:tcBorders>
            <w:shd w:val="clear" w:color="auto" w:fill="5B991F"/>
          </w:tcPr>
          <w:p w14:paraId="0716BE1A" w14:textId="77777777" w:rsidR="00325DEF" w:rsidRPr="00325DEF" w:rsidRDefault="00325DEF" w:rsidP="00325DEF">
            <w:pPr>
              <w:spacing w:after="160" w:line="278" w:lineRule="auto"/>
              <w:rPr>
                <w:b/>
                <w:bCs/>
                <w:color w:val="FFFFFF" w:themeColor="background1"/>
              </w:rPr>
            </w:pPr>
            <w:r w:rsidRPr="00325DEF">
              <w:rPr>
                <w:b/>
                <w:bCs/>
                <w:color w:val="FFFFFF" w:themeColor="background1"/>
              </w:rPr>
              <w:t>Public Experience</w:t>
            </w:r>
          </w:p>
          <w:p w14:paraId="419B9C58" w14:textId="77777777" w:rsidR="00325DEF" w:rsidRPr="00325DEF" w:rsidRDefault="00325DEF" w:rsidP="00325DEF">
            <w:pPr>
              <w:rPr>
                <w:b/>
                <w:bCs/>
                <w:color w:val="FFFFFF" w:themeColor="background1"/>
              </w:rPr>
            </w:pPr>
          </w:p>
        </w:tc>
        <w:tc>
          <w:tcPr>
            <w:tcW w:w="2231" w:type="dxa"/>
            <w:tcBorders>
              <w:top w:val="single" w:sz="4" w:space="0" w:color="auto"/>
              <w:left w:val="single" w:sz="4" w:space="0" w:color="auto"/>
              <w:bottom w:val="single" w:sz="4" w:space="0" w:color="auto"/>
              <w:right w:val="single" w:sz="4" w:space="0" w:color="auto"/>
            </w:tcBorders>
            <w:shd w:val="clear" w:color="auto" w:fill="5B991F"/>
          </w:tcPr>
          <w:p w14:paraId="0607DCF8" w14:textId="77777777" w:rsidR="00325DEF" w:rsidRPr="00325DEF" w:rsidRDefault="00325DEF" w:rsidP="00325DEF">
            <w:pPr>
              <w:spacing w:after="160" w:line="278" w:lineRule="auto"/>
              <w:rPr>
                <w:b/>
                <w:bCs/>
                <w:color w:val="FFFFFF" w:themeColor="background1"/>
              </w:rPr>
            </w:pPr>
            <w:r w:rsidRPr="00325DEF">
              <w:rPr>
                <w:b/>
                <w:bCs/>
                <w:color w:val="FFFFFF" w:themeColor="background1"/>
              </w:rPr>
              <w:t>Trust and Ethics</w:t>
            </w:r>
          </w:p>
          <w:p w14:paraId="09C9BAFB" w14:textId="77777777" w:rsidR="00325DEF" w:rsidRPr="00325DEF" w:rsidRDefault="00325DEF" w:rsidP="00325DEF">
            <w:pPr>
              <w:rPr>
                <w:b/>
                <w:bCs/>
                <w:color w:val="FFFFFF" w:themeColor="background1"/>
              </w:rPr>
            </w:pPr>
          </w:p>
        </w:tc>
      </w:tr>
      <w:tr w:rsidR="00325DEF" w:rsidRPr="00325DEF" w14:paraId="63D83C14" w14:textId="77777777" w:rsidTr="00325DEF">
        <w:tc>
          <w:tcPr>
            <w:tcW w:w="2154" w:type="dxa"/>
            <w:tcBorders>
              <w:top w:val="single" w:sz="4" w:space="0" w:color="auto"/>
              <w:left w:val="single" w:sz="4" w:space="0" w:color="auto"/>
              <w:bottom w:val="single" w:sz="4" w:space="0" w:color="auto"/>
              <w:right w:val="single" w:sz="4" w:space="0" w:color="auto"/>
            </w:tcBorders>
            <w:hideMark/>
          </w:tcPr>
          <w:p w14:paraId="42CDE385" w14:textId="08F15B27" w:rsidR="00325DEF" w:rsidRPr="00325DEF" w:rsidRDefault="00325DEF" w:rsidP="00325DEF">
            <w:pPr>
              <w:spacing w:after="160" w:line="278" w:lineRule="auto"/>
            </w:pPr>
            <w:r>
              <w:t xml:space="preserve">Why it matters: </w:t>
            </w:r>
            <w:r w:rsidRPr="00325DEF">
              <w:t xml:space="preserve">The assistant could ease staff pressure by handling queries that do not need a human response. </w:t>
            </w:r>
          </w:p>
          <w:p w14:paraId="6F9E314B" w14:textId="77777777" w:rsidR="00325DEF" w:rsidRPr="00325DEF" w:rsidRDefault="00325DEF" w:rsidP="00325DEF">
            <w:pPr>
              <w:spacing w:after="160" w:line="278" w:lineRule="auto"/>
            </w:pPr>
            <w:r w:rsidRPr="00325DEF">
              <w:t>How to measure: Track changes in inbound emails and calls.</w:t>
            </w:r>
          </w:p>
        </w:tc>
        <w:tc>
          <w:tcPr>
            <w:tcW w:w="2376" w:type="dxa"/>
            <w:tcBorders>
              <w:top w:val="single" w:sz="4" w:space="0" w:color="auto"/>
              <w:left w:val="single" w:sz="4" w:space="0" w:color="auto"/>
              <w:bottom w:val="single" w:sz="4" w:space="0" w:color="auto"/>
              <w:right w:val="single" w:sz="4" w:space="0" w:color="auto"/>
            </w:tcBorders>
          </w:tcPr>
          <w:p w14:paraId="03AA2596" w14:textId="6239E6D2" w:rsidR="00325DEF" w:rsidRPr="00325DEF" w:rsidRDefault="00325DEF" w:rsidP="00325DEF">
            <w:pPr>
              <w:spacing w:after="160" w:line="278" w:lineRule="auto"/>
            </w:pPr>
            <w:r w:rsidRPr="00325DEF">
              <w:t>Why it</w:t>
            </w:r>
            <w:r>
              <w:t xml:space="preserve"> matters</w:t>
            </w:r>
            <w:r w:rsidRPr="00325DEF">
              <w:t>:</w:t>
            </w:r>
            <w:r>
              <w:t xml:space="preserve"> </w:t>
            </w:r>
            <w:r w:rsidRPr="00325DEF">
              <w:t>Incorrect or misleading information can cause confusion or harm.</w:t>
            </w:r>
          </w:p>
          <w:p w14:paraId="3170A1BE" w14:textId="77777777" w:rsidR="00325DEF" w:rsidRPr="00325DEF" w:rsidRDefault="00325DEF" w:rsidP="00325DEF">
            <w:pPr>
              <w:spacing w:after="160" w:line="278" w:lineRule="auto"/>
            </w:pPr>
            <w:r w:rsidRPr="00325DEF">
              <w:t>How to measure: Test for errors, and track complaints.</w:t>
            </w:r>
          </w:p>
          <w:p w14:paraId="48F9BCFB" w14:textId="77777777" w:rsidR="00325DEF" w:rsidRPr="00325DEF" w:rsidRDefault="00325DEF" w:rsidP="00325DEF">
            <w:pPr>
              <w:spacing w:after="160" w:line="278" w:lineRule="auto"/>
            </w:pPr>
          </w:p>
        </w:tc>
        <w:tc>
          <w:tcPr>
            <w:tcW w:w="2255" w:type="dxa"/>
            <w:tcBorders>
              <w:top w:val="single" w:sz="4" w:space="0" w:color="auto"/>
              <w:left w:val="single" w:sz="4" w:space="0" w:color="auto"/>
              <w:bottom w:val="single" w:sz="4" w:space="0" w:color="auto"/>
              <w:right w:val="single" w:sz="4" w:space="0" w:color="auto"/>
            </w:tcBorders>
          </w:tcPr>
          <w:p w14:paraId="6A01ADF2" w14:textId="77777777" w:rsidR="00325DEF" w:rsidRPr="00325DEF" w:rsidRDefault="00325DEF" w:rsidP="00325DEF">
            <w:pPr>
              <w:spacing w:after="160" w:line="278" w:lineRule="auto"/>
            </w:pPr>
            <w:r w:rsidRPr="00325DEF">
              <w:t>Why it matters: If it does not work for users, it fails.</w:t>
            </w:r>
          </w:p>
          <w:p w14:paraId="5D7AFFD1" w14:textId="77777777" w:rsidR="00325DEF" w:rsidRPr="00325DEF" w:rsidRDefault="00325DEF" w:rsidP="00325DEF">
            <w:pPr>
              <w:spacing w:after="160" w:line="278" w:lineRule="auto"/>
            </w:pPr>
            <w:r w:rsidRPr="00325DEF">
              <w:t>How to measure: User feedback surveys, and chatbot usage.</w:t>
            </w:r>
          </w:p>
          <w:p w14:paraId="52B4EC23" w14:textId="77777777" w:rsidR="00325DEF" w:rsidRPr="00325DEF" w:rsidRDefault="00325DEF" w:rsidP="00325DEF">
            <w:pPr>
              <w:spacing w:after="160" w:line="278" w:lineRule="auto"/>
            </w:pPr>
          </w:p>
        </w:tc>
        <w:tc>
          <w:tcPr>
            <w:tcW w:w="2231" w:type="dxa"/>
            <w:tcBorders>
              <w:top w:val="single" w:sz="4" w:space="0" w:color="auto"/>
              <w:left w:val="single" w:sz="4" w:space="0" w:color="auto"/>
              <w:bottom w:val="single" w:sz="4" w:space="0" w:color="auto"/>
              <w:right w:val="single" w:sz="4" w:space="0" w:color="auto"/>
            </w:tcBorders>
          </w:tcPr>
          <w:p w14:paraId="367FBDE8" w14:textId="77777777" w:rsidR="00325DEF" w:rsidRPr="00325DEF" w:rsidRDefault="00325DEF" w:rsidP="00325DEF">
            <w:pPr>
              <w:spacing w:after="160" w:line="278" w:lineRule="auto"/>
            </w:pPr>
            <w:r w:rsidRPr="00325DEF">
              <w:t>Why it matters: Trust underpins public confidence and safe AI use.</w:t>
            </w:r>
          </w:p>
          <w:p w14:paraId="5DA534EA" w14:textId="77777777" w:rsidR="00325DEF" w:rsidRPr="00325DEF" w:rsidRDefault="00325DEF" w:rsidP="00325DEF">
            <w:pPr>
              <w:spacing w:after="160" w:line="278" w:lineRule="auto"/>
            </w:pPr>
            <w:r w:rsidRPr="00325DEF">
              <w:t>How to measure: Test for bias in assistant responses, and collect public feedback.</w:t>
            </w:r>
          </w:p>
          <w:p w14:paraId="25EBD85D" w14:textId="77777777" w:rsidR="00325DEF" w:rsidRPr="00325DEF" w:rsidRDefault="00325DEF" w:rsidP="00325DEF">
            <w:pPr>
              <w:spacing w:after="160" w:line="278" w:lineRule="auto"/>
            </w:pPr>
          </w:p>
        </w:tc>
      </w:tr>
    </w:tbl>
    <w:p w14:paraId="7AF21085" w14:textId="77777777" w:rsidR="00325DEF" w:rsidRPr="00325DEF" w:rsidRDefault="00325DEF" w:rsidP="00325DEF"/>
    <w:p w14:paraId="224AB702" w14:textId="35BBCF07" w:rsidR="00325DEF" w:rsidRDefault="00325DEF" w:rsidP="00325DEF">
      <w:pPr>
        <w:pStyle w:val="Heading2"/>
        <w:rPr>
          <w:rFonts w:hint="eastAsia"/>
        </w:rPr>
      </w:pPr>
      <w:r>
        <w:t>Case study deep dives</w:t>
      </w:r>
    </w:p>
    <w:p w14:paraId="5E8EBCC7" w14:textId="6FB7FDAB" w:rsidR="00325DEF" w:rsidRPr="00325DEF" w:rsidRDefault="00325DEF" w:rsidP="00325DEF">
      <w:r>
        <w:t xml:space="preserve">Here is more information </w:t>
      </w:r>
      <w:r w:rsidRPr="00325DEF">
        <w:t>about the 3 government case studies presented above</w:t>
      </w:r>
      <w:r>
        <w:t>.</w:t>
      </w:r>
    </w:p>
    <w:p w14:paraId="46BD2B7C" w14:textId="028D9902" w:rsidR="00325DEF" w:rsidRPr="00325DEF" w:rsidRDefault="00325DEF" w:rsidP="00A063E5">
      <w:pPr>
        <w:pStyle w:val="Heading3"/>
        <w:rPr>
          <w:rFonts w:hint="eastAsia"/>
        </w:rPr>
      </w:pPr>
      <w:r w:rsidRPr="00325DEF">
        <w:t>Heidi AI Scribe - Health New Zealand | Te Whatu Ora</w:t>
      </w:r>
    </w:p>
    <w:p w14:paraId="1E15DB22" w14:textId="77777777" w:rsidR="00A063E5" w:rsidRPr="00A063E5" w:rsidRDefault="00A063E5" w:rsidP="00A063E5">
      <w:pPr>
        <w:rPr>
          <w:b/>
          <w:bCs/>
        </w:rPr>
      </w:pPr>
      <w:r w:rsidRPr="00A063E5">
        <w:rPr>
          <w:b/>
          <w:bCs/>
        </w:rPr>
        <w:t>Overview</w:t>
      </w:r>
    </w:p>
    <w:p w14:paraId="478458F4" w14:textId="77777777" w:rsidR="00A063E5" w:rsidRPr="00A063E5" w:rsidRDefault="00A063E5" w:rsidP="00A063E5">
      <w:r w:rsidRPr="00A063E5">
        <w:t>Health’s Heidi AI Scribe is a highly sophisticated AI scribe being rolled out to under-pressure emergency departments (EDs) across New Zealand.</w:t>
      </w:r>
    </w:p>
    <w:p w14:paraId="3B556BEC" w14:textId="77777777" w:rsidR="00A063E5" w:rsidRPr="00A063E5" w:rsidRDefault="00A063E5" w:rsidP="00A063E5">
      <w:r w:rsidRPr="00A063E5">
        <w:t>The AI scribe securely records a consultation and automatically creates draft clinical notes, referral letters and follow-up summaries. The doctor reviews and confirms these notes, saving time while making sure important information is accurately captured.</w:t>
      </w:r>
    </w:p>
    <w:p w14:paraId="571A0A0F" w14:textId="77777777" w:rsidR="00A063E5" w:rsidRPr="00A063E5" w:rsidRDefault="00A063E5" w:rsidP="00A063E5">
      <w:r w:rsidRPr="00A063E5">
        <w:t>In the successful pilot in Hawke’s Bay and Whanganui, doctors could, on average, see one additional patient per shift.</w:t>
      </w:r>
    </w:p>
    <w:p w14:paraId="1D00CCAD" w14:textId="77777777" w:rsidR="00A063E5" w:rsidRPr="00A063E5" w:rsidRDefault="00A063E5" w:rsidP="00A063E5">
      <w:r w:rsidRPr="00A063E5">
        <w:t>The AI scribe will be available to 1000 doctors and frontline staff working in emergency departments across the country. Heidi Health founder Dr Thomas Kelly described the initiative as possibly one of the most advanced rollouts of this nature in the world.</w:t>
      </w:r>
    </w:p>
    <w:p w14:paraId="42B8B98D" w14:textId="77777777" w:rsidR="00A063E5" w:rsidRPr="00A063E5" w:rsidRDefault="00A063E5" w:rsidP="00A063E5">
      <w:pPr>
        <w:rPr>
          <w:b/>
          <w:bCs/>
        </w:rPr>
      </w:pPr>
      <w:r w:rsidRPr="00A063E5">
        <w:rPr>
          <w:b/>
          <w:bCs/>
        </w:rPr>
        <w:t>Heidi AI Scribe</w:t>
      </w:r>
    </w:p>
    <w:p w14:paraId="43B3329C" w14:textId="77777777" w:rsidR="00A063E5" w:rsidRPr="00A063E5" w:rsidRDefault="00A063E5" w:rsidP="00A063E5">
      <w:r w:rsidRPr="00A063E5">
        <w:t>The Heidi AI Scribe for Emergency Departments is an ambient, generative</w:t>
      </w:r>
      <w:r w:rsidRPr="00A063E5">
        <w:noBreakHyphen/>
        <w:t>AI clinical documentation tool deployed nationally through the HealthX innovation programme. The solution listens to clinician–patient interactions (with appropriate consent), transcribes conversations in real time, and automatically generates structured clinical notes aligned to Health New Zealand documentation standards and clinical terminology.</w:t>
      </w:r>
    </w:p>
    <w:p w14:paraId="4CA96316" w14:textId="77777777" w:rsidR="00A063E5" w:rsidRPr="00A063E5" w:rsidRDefault="00A063E5" w:rsidP="00A063E5">
      <w:r w:rsidRPr="00A063E5">
        <w:t>The AI scribe is suitable for high</w:t>
      </w:r>
      <w:r w:rsidRPr="00A063E5">
        <w:noBreakHyphen/>
        <w:t>pressure ED environments, where clinicians face significant administrative burden alongside acute clinical decision</w:t>
      </w:r>
      <w:r w:rsidRPr="00A063E5">
        <w:noBreakHyphen/>
        <w:t>making. The tool supports clinicians by producing high</w:t>
      </w:r>
      <w:r w:rsidRPr="00A063E5">
        <w:noBreakHyphen/>
        <w:t>quality draft notes that can be reviewed, edited, and approved by the clinician before being committed to the clinical record. Clinical accountability and decision</w:t>
      </w:r>
      <w:r w:rsidRPr="00A063E5">
        <w:noBreakHyphen/>
        <w:t>making remain fully with the clinician at all times.</w:t>
      </w:r>
    </w:p>
    <w:p w14:paraId="194B29B9" w14:textId="77777777" w:rsidR="00A063E5" w:rsidRPr="00A063E5" w:rsidRDefault="00A063E5" w:rsidP="00A063E5">
      <w:r w:rsidRPr="00A063E5">
        <w:t>The solution has undergone privacy impact assessment, cybersecurity review, and contractual assurance to ensure compliance with New Zealand health information requirements. It has been deployed using a clinician</w:t>
      </w:r>
      <w:r w:rsidRPr="00A063E5">
        <w:noBreakHyphen/>
        <w:t>led, evidence</w:t>
      </w:r>
      <w:r w:rsidRPr="00A063E5">
        <w:noBreakHyphen/>
        <w:t>based rollout model. The AI scribe initiative directly supports national health system priorities, including reducing administrative burden, improving clinician wellbeing, and enabling more time for direct patient care in emergency departments.</w:t>
      </w:r>
    </w:p>
    <w:p w14:paraId="738C52CE" w14:textId="77777777" w:rsidR="00A063E5" w:rsidRPr="00A063E5" w:rsidRDefault="00A063E5" w:rsidP="00A063E5">
      <w:pPr>
        <w:rPr>
          <w:b/>
          <w:bCs/>
        </w:rPr>
      </w:pPr>
      <w:r w:rsidRPr="00A063E5">
        <w:rPr>
          <w:b/>
          <w:bCs/>
        </w:rPr>
        <w:t>National scale and system impact</w:t>
      </w:r>
    </w:p>
    <w:p w14:paraId="6951964E" w14:textId="77777777" w:rsidR="00A063E5" w:rsidRPr="00A063E5" w:rsidRDefault="00A063E5" w:rsidP="00A063E5">
      <w:r w:rsidRPr="00A063E5">
        <w:t>1,250 licences have been allocated to enable national deployment. The solution has been rolled out across all EDs nationwide, covering 39 sites and marking it one of the world’s first fully national public</w:t>
      </w:r>
      <w:r w:rsidRPr="00A063E5">
        <w:noBreakHyphen/>
        <w:t>health deployments of an ambient AI scribe in Emergency Departments. This represents a significant milestone in responsible AI adoption at scale within Health New Zealand.</w:t>
      </w:r>
    </w:p>
    <w:p w14:paraId="7A0016B5" w14:textId="77777777" w:rsidR="00A063E5" w:rsidRPr="00A063E5" w:rsidRDefault="00A063E5" w:rsidP="00A063E5">
      <w:pPr>
        <w:rPr>
          <w:b/>
          <w:bCs/>
        </w:rPr>
      </w:pPr>
      <w:r w:rsidRPr="00A063E5">
        <w:rPr>
          <w:b/>
          <w:bCs/>
        </w:rPr>
        <w:t>Benefits and impact</w:t>
      </w:r>
    </w:p>
    <w:p w14:paraId="70741EED" w14:textId="77777777" w:rsidR="00A063E5" w:rsidRPr="00A063E5" w:rsidRDefault="00A063E5" w:rsidP="00A063E5">
      <w:pPr>
        <w:rPr>
          <w:b/>
          <w:bCs/>
        </w:rPr>
      </w:pPr>
      <w:r w:rsidRPr="00A063E5">
        <w:rPr>
          <w:b/>
          <w:bCs/>
        </w:rPr>
        <w:t>Reduced administrative burden and time savings</w:t>
      </w:r>
    </w:p>
    <w:p w14:paraId="31D36FFF" w14:textId="77777777" w:rsidR="00A063E5" w:rsidRPr="00A063E5" w:rsidRDefault="00A063E5" w:rsidP="00A063E5">
      <w:r w:rsidRPr="00A063E5">
        <w:t>Pilot and early rollout data demonstrated a substantial reduction in documentation time per patient, with average note</w:t>
      </w:r>
      <w:r w:rsidRPr="00A063E5">
        <w:noBreakHyphen/>
        <w:t>taking time reduced from approximately 17 minutes to just over 4 minutes per patient in Emergency Department settings. This equates to a reduction of over 60% in documentation effort during patient assessments.</w:t>
      </w:r>
    </w:p>
    <w:p w14:paraId="177C53E5" w14:textId="77777777" w:rsidR="00A063E5" w:rsidRPr="00A063E5" w:rsidRDefault="00A063E5" w:rsidP="00A063E5">
      <w:pPr>
        <w:rPr>
          <w:b/>
          <w:bCs/>
        </w:rPr>
      </w:pPr>
      <w:r w:rsidRPr="00A063E5">
        <w:rPr>
          <w:b/>
          <w:bCs/>
        </w:rPr>
        <w:t>Improved clinician productivity and workflow efficiency</w:t>
      </w:r>
    </w:p>
    <w:p w14:paraId="17AB2BE5" w14:textId="77777777" w:rsidR="00A063E5" w:rsidRPr="00A063E5" w:rsidRDefault="00A063E5" w:rsidP="00A063E5">
      <w:r w:rsidRPr="00A063E5">
        <w:t>Clinicians reported the ability to see additional patients per shift, driven by faster documentation and reduced after</w:t>
      </w:r>
      <w:r w:rsidRPr="00A063E5">
        <w:noBreakHyphen/>
        <w:t>hours administrative work. Documentation completed outside rostered hours decreased by up to 81%, supporting better roster alignment and reducing unpaid overtime.</w:t>
      </w:r>
    </w:p>
    <w:p w14:paraId="1CBFB068" w14:textId="77777777" w:rsidR="00A063E5" w:rsidRPr="00A063E5" w:rsidRDefault="00A063E5" w:rsidP="00A063E5">
      <w:pPr>
        <w:rPr>
          <w:b/>
          <w:bCs/>
        </w:rPr>
      </w:pPr>
      <w:r w:rsidRPr="00A063E5">
        <w:rPr>
          <w:b/>
          <w:bCs/>
        </w:rPr>
        <w:t>Enhanced clinician wellbeing and experience</w:t>
      </w:r>
    </w:p>
    <w:p w14:paraId="00DF52D0" w14:textId="77777777" w:rsidR="00A063E5" w:rsidRPr="00A063E5" w:rsidRDefault="00A063E5" w:rsidP="00A063E5">
      <w:r w:rsidRPr="00A063E5">
        <w:t>Frontline feedback consistently highlighted reduced cognitive load, improved focus on patient interactions, and less end</w:t>
      </w:r>
      <w:r w:rsidRPr="00A063E5">
        <w:noBreakHyphen/>
        <w:t>of</w:t>
      </w:r>
      <w:r w:rsidRPr="00A063E5">
        <w:noBreakHyphen/>
        <w:t>shift fatigue. Clinician satisfaction scores reported during pilots and early national rollout exceeded target thresholds, with many clinicians describing the tool as transformational for Emergency Department practice.</w:t>
      </w:r>
    </w:p>
    <w:p w14:paraId="12789E8D" w14:textId="77777777" w:rsidR="00A063E5" w:rsidRPr="00A063E5" w:rsidRDefault="00A063E5" w:rsidP="00A063E5">
      <w:pPr>
        <w:rPr>
          <w:b/>
          <w:bCs/>
        </w:rPr>
      </w:pPr>
      <w:r w:rsidRPr="00A063E5">
        <w:rPr>
          <w:b/>
          <w:bCs/>
        </w:rPr>
        <w:t>Service improvement and patient care benefits</w:t>
      </w:r>
    </w:p>
    <w:p w14:paraId="3867486A" w14:textId="77777777" w:rsidR="00A063E5" w:rsidRPr="00A063E5" w:rsidRDefault="00A063E5" w:rsidP="00A063E5">
      <w:r w:rsidRPr="00A063E5">
        <w:t>By freeing clinicians from manual note</w:t>
      </w:r>
      <w:r w:rsidRPr="00A063E5">
        <w:noBreakHyphen/>
        <w:t>taking, the AI scribe enables more direct patient engagement. The initiative supports the health target for shorter stays in emergency departments, contributing to improved patient flow and throughput in high</w:t>
      </w:r>
      <w:r w:rsidRPr="00A063E5">
        <w:noBreakHyphen/>
        <w:t>demand ED environments.</w:t>
      </w:r>
    </w:p>
    <w:p w14:paraId="194CA05E" w14:textId="5B36A2C1" w:rsidR="00325DEF" w:rsidRPr="00325DEF" w:rsidRDefault="00A063E5" w:rsidP="00A063E5">
      <w:pPr>
        <w:pStyle w:val="Heading3"/>
        <w:rPr>
          <w:rFonts w:hint="eastAsia"/>
        </w:rPr>
      </w:pPr>
      <w:r w:rsidRPr="00A063E5">
        <w:t>AI Auto Text Scoring - New Zealand Qualifications Authority</w:t>
      </w:r>
    </w:p>
    <w:p w14:paraId="3134C3B2" w14:textId="77777777" w:rsidR="00A063E5" w:rsidRPr="00A063E5" w:rsidRDefault="00A063E5" w:rsidP="00A063E5">
      <w:pPr>
        <w:rPr>
          <w:b/>
          <w:bCs/>
        </w:rPr>
      </w:pPr>
      <w:r w:rsidRPr="00A063E5">
        <w:rPr>
          <w:b/>
          <w:bCs/>
        </w:rPr>
        <w:t>Overview</w:t>
      </w:r>
    </w:p>
    <w:p w14:paraId="504455EF" w14:textId="77777777" w:rsidR="00A063E5" w:rsidRPr="00A063E5" w:rsidRDefault="00A063E5" w:rsidP="00A063E5">
      <w:r w:rsidRPr="00A063E5">
        <w:t>Supervised machine learning is helping to mark NCEA Literacy Writing assessments. In exam conditions students produce short essays, and the AI scores these using criteria aligned to the Literacy Writing standard. Assessment runs twice per annum. As the nationwide compulsory assessments must be achieved for students to progress and gain NCEA qualifications, re-assessment can be required.  Human judgement remains central throughout NCEA processes.</w:t>
      </w:r>
    </w:p>
    <w:p w14:paraId="68A19C98" w14:textId="77777777" w:rsidR="00A063E5" w:rsidRPr="00A063E5" w:rsidRDefault="00A063E5" w:rsidP="00A063E5">
      <w:r w:rsidRPr="00A063E5">
        <w:t> </w:t>
      </w:r>
    </w:p>
    <w:p w14:paraId="1B016D34" w14:textId="77777777" w:rsidR="00A063E5" w:rsidRPr="00A063E5" w:rsidRDefault="00A063E5" w:rsidP="00A063E5">
      <w:r w:rsidRPr="00A063E5">
        <w:t>NZQA adopted a cautious, evidence-led approach introducing AI-supervised machine learning to support the marking of NCEA Literacy Writing assessments. NZQA undertook discovery work in 2021-2024, with a small-scale trial in 2024. In a large-scale trial that followed of 36,000 student responses, a comparison between AI and human marking demonstrated an agreement rate of ~80%. This is comparable to agreement rates between experienced human markers.</w:t>
      </w:r>
    </w:p>
    <w:p w14:paraId="20C732A4" w14:textId="77777777" w:rsidR="00A063E5" w:rsidRPr="00A063E5" w:rsidRDefault="00A063E5" w:rsidP="00A063E5">
      <w:r w:rsidRPr="00A063E5">
        <w:t>The trials met NZQA’s expectations for quality, reliability, cost, and delivery. A core principle of the approach is that humans remain at the centre. Approximately one third of student responses are double-marked by experienced human markers following AI marking to ensure quality.</w:t>
      </w:r>
    </w:p>
    <w:p w14:paraId="14EE93C0" w14:textId="77777777" w:rsidR="00A063E5" w:rsidRPr="00A063E5" w:rsidRDefault="00A063E5" w:rsidP="00A063E5">
      <w:pPr>
        <w:rPr>
          <w:b/>
          <w:bCs/>
        </w:rPr>
      </w:pPr>
      <w:r w:rsidRPr="00A063E5">
        <w:rPr>
          <w:b/>
          <w:bCs/>
        </w:rPr>
        <w:t>Benefits and impact</w:t>
      </w:r>
    </w:p>
    <w:p w14:paraId="1FA6DBE2" w14:textId="77777777" w:rsidR="00A063E5" w:rsidRPr="00A063E5" w:rsidRDefault="00A063E5" w:rsidP="00A063E5">
      <w:r w:rsidRPr="00A063E5">
        <w:t>In 2025, 100,000 students benefited from AI use in these NCEA compulsory assessments.</w:t>
      </w:r>
    </w:p>
    <w:p w14:paraId="5F4E2A3E" w14:textId="77777777" w:rsidR="00A063E5" w:rsidRPr="00A063E5" w:rsidRDefault="00A063E5" w:rsidP="00A063E5">
      <w:r w:rsidRPr="00A063E5">
        <w:t>NZQA reduced the time taken to release results by four and a half weeks in May 2025, and 3 and a half weeks in September 2025. Further reductions are expected as processes and technology continue to mature. This gives more time for schools, students and families to understand results and respond (for example, prepare for reassessment where needed).</w:t>
      </w:r>
    </w:p>
    <w:p w14:paraId="54B76EC1" w14:textId="77777777" w:rsidR="00A063E5" w:rsidRPr="00A063E5" w:rsidRDefault="00A063E5" w:rsidP="00A063E5">
      <w:r w:rsidRPr="00A063E5">
        <w:t>NZQA is applying lessons learned to explore AI for wider assessments and task types, longer</w:t>
      </w:r>
      <w:r w:rsidRPr="00A063E5">
        <w:noBreakHyphen/>
        <w:t>form responses, and greater complexity. These assessments require more advanced AI e.g. large language models and hybrid marking methods.</w:t>
      </w:r>
    </w:p>
    <w:p w14:paraId="1C20C0FA" w14:textId="77777777" w:rsidR="00A063E5" w:rsidRPr="00A063E5" w:rsidRDefault="00A063E5" w:rsidP="00A063E5">
      <w:r w:rsidRPr="00A063E5">
        <w:t>Historically, NZQA took up to ten weeks to release results, constraining the time available for schools to respond and to prepare students for reassessment. Reducing this turnaround time is a strategic priority for NZQA and is part of a commitment to schools, teachers and Minister.</w:t>
      </w:r>
    </w:p>
    <w:p w14:paraId="553F2277" w14:textId="67DC8EC2" w:rsidR="00325DEF" w:rsidRDefault="00A063E5" w:rsidP="00A063E5">
      <w:pPr>
        <w:pStyle w:val="Heading3"/>
        <w:rPr>
          <w:rFonts w:hint="eastAsia"/>
        </w:rPr>
      </w:pPr>
      <w:r w:rsidRPr="00A063E5">
        <w:t>Contact Centre Conversation Summarisation - Inland Revenue</w:t>
      </w:r>
    </w:p>
    <w:p w14:paraId="0E1E82A3" w14:textId="77777777" w:rsidR="00A063E5" w:rsidRPr="00A063E5" w:rsidRDefault="00A063E5" w:rsidP="00A063E5">
      <w:pPr>
        <w:rPr>
          <w:b/>
          <w:bCs/>
        </w:rPr>
      </w:pPr>
      <w:r w:rsidRPr="00A063E5">
        <w:rPr>
          <w:b/>
          <w:bCs/>
        </w:rPr>
        <w:t>Overview</w:t>
      </w:r>
    </w:p>
    <w:p w14:paraId="43865B11" w14:textId="77777777" w:rsidR="00A063E5" w:rsidRPr="00A063E5" w:rsidRDefault="00A063E5" w:rsidP="00A063E5">
      <w:r w:rsidRPr="00A063E5">
        <w:t>Genesys Cloud AI generates a summary of the key points from customer interaction which, once checked for completeness and correctness, can be copied to the customer record. The Genesys AI generated summary is not retained. The summary created by this tool requires review by a contact centre agent before being applied to the customer record.</w:t>
      </w:r>
    </w:p>
    <w:p w14:paraId="14606954" w14:textId="77777777" w:rsidR="00A063E5" w:rsidRPr="00A063E5" w:rsidRDefault="00A063E5" w:rsidP="00A063E5">
      <w:pPr>
        <w:rPr>
          <w:b/>
          <w:bCs/>
        </w:rPr>
      </w:pPr>
      <w:r w:rsidRPr="00A063E5">
        <w:rPr>
          <w:b/>
          <w:bCs/>
        </w:rPr>
        <w:t>Benefits and impacts</w:t>
      </w:r>
    </w:p>
    <w:p w14:paraId="51B5804D" w14:textId="77777777" w:rsidR="00A063E5" w:rsidRPr="00A063E5" w:rsidRDefault="00A063E5" w:rsidP="00A063E5">
      <w:r w:rsidRPr="00A063E5">
        <w:t>An initial pilot demonstrated an average 17% decrease in after-call work time, no degradation in the quality of notes, and positive sentiment from Inland Revenue’s staff who trialled this feature.</w:t>
      </w:r>
    </w:p>
    <w:p w14:paraId="3B07DA12" w14:textId="77777777" w:rsidR="00A063E5" w:rsidRPr="00A063E5" w:rsidRDefault="00A063E5" w:rsidP="00A063E5">
      <w:r w:rsidRPr="00A063E5">
        <w:t>The feature</w:t>
      </w:r>
      <w:r w:rsidRPr="00A063E5">
        <w:rPr>
          <w:rFonts w:ascii="Arial" w:hAnsi="Arial" w:cs="Arial"/>
        </w:rPr>
        <w:t> </w:t>
      </w:r>
      <w:r w:rsidRPr="00A063E5">
        <w:t>performed particularly well with general voice calls where time efficiencies were seen. Based on pilot findings, Inland Revenue are expecting a reduction in after-call work time for staff of 1.47 minutes per call, equating to 32,000 to 34,000 hours annually within the Contact Centre. This is enabling Inland Revenue to either divert resource to other channels, or to accept additional phone calls.</w:t>
      </w:r>
    </w:p>
    <w:p w14:paraId="0A92F318" w14:textId="77777777" w:rsidR="00A063E5" w:rsidRPr="00325DEF" w:rsidRDefault="00A063E5" w:rsidP="00325DEF"/>
    <w:sectPr w:rsidR="00A063E5" w:rsidRPr="00325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0112"/>
    <w:multiLevelType w:val="hybridMultilevel"/>
    <w:tmpl w:val="889423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793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EF"/>
    <w:rsid w:val="00301411"/>
    <w:rsid w:val="00325DEF"/>
    <w:rsid w:val="00437922"/>
    <w:rsid w:val="00480824"/>
    <w:rsid w:val="004B3447"/>
    <w:rsid w:val="004E0B5F"/>
    <w:rsid w:val="008720AF"/>
    <w:rsid w:val="00A063E5"/>
    <w:rsid w:val="00AB7728"/>
    <w:rsid w:val="00C02126"/>
    <w:rsid w:val="00F3165E"/>
    <w:rsid w:val="00FF5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0D0923"/>
  <w15:chartTrackingRefBased/>
  <w15:docId w15:val="{6B122DD7-6C74-4ACC-A2F2-565D043A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5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5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DEF"/>
    <w:rPr>
      <w:rFonts w:eastAsiaTheme="majorEastAsia" w:cstheme="majorBidi"/>
      <w:color w:val="272727" w:themeColor="text1" w:themeTint="D8"/>
    </w:rPr>
  </w:style>
  <w:style w:type="paragraph" w:styleId="Title">
    <w:name w:val="Title"/>
    <w:basedOn w:val="Normal"/>
    <w:next w:val="Normal"/>
    <w:link w:val="TitleChar"/>
    <w:uiPriority w:val="10"/>
    <w:qFormat/>
    <w:rsid w:val="00325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DEF"/>
    <w:pPr>
      <w:spacing w:before="160"/>
      <w:jc w:val="center"/>
    </w:pPr>
    <w:rPr>
      <w:i/>
      <w:iCs/>
      <w:color w:val="404040" w:themeColor="text1" w:themeTint="BF"/>
    </w:rPr>
  </w:style>
  <w:style w:type="character" w:customStyle="1" w:styleId="QuoteChar">
    <w:name w:val="Quote Char"/>
    <w:basedOn w:val="DefaultParagraphFont"/>
    <w:link w:val="Quote"/>
    <w:uiPriority w:val="29"/>
    <w:rsid w:val="00325DEF"/>
    <w:rPr>
      <w:i/>
      <w:iCs/>
      <w:color w:val="404040" w:themeColor="text1" w:themeTint="BF"/>
    </w:rPr>
  </w:style>
  <w:style w:type="paragraph" w:styleId="ListParagraph">
    <w:name w:val="List Paragraph"/>
    <w:basedOn w:val="Normal"/>
    <w:uiPriority w:val="34"/>
    <w:qFormat/>
    <w:rsid w:val="00325DEF"/>
    <w:pPr>
      <w:ind w:left="720"/>
      <w:contextualSpacing/>
    </w:pPr>
  </w:style>
  <w:style w:type="character" w:styleId="IntenseEmphasis">
    <w:name w:val="Intense Emphasis"/>
    <w:basedOn w:val="DefaultParagraphFont"/>
    <w:uiPriority w:val="21"/>
    <w:qFormat/>
    <w:rsid w:val="00325DEF"/>
    <w:rPr>
      <w:i/>
      <w:iCs/>
      <w:color w:val="0F4761" w:themeColor="accent1" w:themeShade="BF"/>
    </w:rPr>
  </w:style>
  <w:style w:type="paragraph" w:styleId="IntenseQuote">
    <w:name w:val="Intense Quote"/>
    <w:basedOn w:val="Normal"/>
    <w:next w:val="Normal"/>
    <w:link w:val="IntenseQuoteChar"/>
    <w:uiPriority w:val="30"/>
    <w:qFormat/>
    <w:rsid w:val="0032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DEF"/>
    <w:rPr>
      <w:i/>
      <w:iCs/>
      <w:color w:val="0F4761" w:themeColor="accent1" w:themeShade="BF"/>
    </w:rPr>
  </w:style>
  <w:style w:type="character" w:styleId="IntenseReference">
    <w:name w:val="Intense Reference"/>
    <w:basedOn w:val="DefaultParagraphFont"/>
    <w:uiPriority w:val="32"/>
    <w:qFormat/>
    <w:rsid w:val="00325DEF"/>
    <w:rPr>
      <w:b/>
      <w:bCs/>
      <w:smallCaps/>
      <w:color w:val="0F4761" w:themeColor="accent1" w:themeShade="BF"/>
      <w:spacing w:val="5"/>
    </w:rPr>
  </w:style>
  <w:style w:type="paragraph" w:styleId="NormalWeb">
    <w:name w:val="Normal (Web)"/>
    <w:basedOn w:val="Normal"/>
    <w:uiPriority w:val="99"/>
    <w:semiHidden/>
    <w:unhideWhenUsed/>
    <w:rsid w:val="00325DEF"/>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table" w:styleId="TableGrid">
    <w:name w:val="Table Grid"/>
    <w:basedOn w:val="TableNormal"/>
    <w:uiPriority w:val="39"/>
    <w:rsid w:val="0032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TKMLDC-1899142907-306899</_dlc_DocId>
    <_dlc_DocIdUrl xmlns="26365202-4b37-46f6-8f4a-657aef1497de">
      <Url>https://sscnz.sharepoint.com/sites/LDC/_layouts/15/DocIdRedir.aspx?ID=TKMLDC-1899142907-306899</Url>
      <Description>TKMLDC-1899142907-306899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A9B12-3365-480B-96D1-11879519D0E9}">
  <ds:schemaRefs>
    <ds:schemaRef ds:uri="http://schemas.microsoft.com/sharepoint/events"/>
  </ds:schemaRefs>
</ds:datastoreItem>
</file>

<file path=customXml/itemProps2.xml><?xml version="1.0" encoding="utf-8"?>
<ds:datastoreItem xmlns:ds="http://schemas.openxmlformats.org/officeDocument/2006/customXml" ds:itemID="{A2186BFD-0B8B-4ED2-B9F3-48543ECB6339}">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3.xml><?xml version="1.0" encoding="utf-8"?>
<ds:datastoreItem xmlns:ds="http://schemas.openxmlformats.org/officeDocument/2006/customXml" ds:itemID="{29B96CAE-2365-4347-A370-5A700EEDC792}">
  <ds:schemaRefs>
    <ds:schemaRef ds:uri="http://schemas.microsoft.com/sharepoint/v3/contenttype/forms"/>
  </ds:schemaRefs>
</ds:datastoreItem>
</file>

<file path=customXml/itemProps4.xml><?xml version="1.0" encoding="utf-8"?>
<ds:datastoreItem xmlns:ds="http://schemas.openxmlformats.org/officeDocument/2006/customXml" ds:itemID="{CCEF6B4E-CDA1-41B8-8AF2-93CE1AC81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1</cp:revision>
  <dcterms:created xsi:type="dcterms:W3CDTF">2026-04-30T23:23:00Z</dcterms:created>
  <dcterms:modified xsi:type="dcterms:W3CDTF">2026-06-08T22:31:00Z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01a11831-4373-4168-b0ae-bac0f8b1f999</vt:lpwstr>
  </property>
  <property fmtid="{D5CDD505-2E9C-101B-9397-08002B2CF9AE}" pid="4" name="MediaServiceImageTags">
    <vt:lpwstr/>
  </property>
</Properties>
</file>