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B434" w14:textId="77777777" w:rsidR="00D66CCD" w:rsidRPr="00D66CCD" w:rsidRDefault="00D66CCD" w:rsidP="00D66CCD">
      <w:pPr>
        <w:pStyle w:val="Heading1"/>
        <w:rPr>
          <w:b/>
          <w:bCs/>
          <w:color w:val="005B7A"/>
        </w:rPr>
      </w:pPr>
      <w:r w:rsidRPr="00D66CCD">
        <w:rPr>
          <w:b/>
          <w:bCs/>
          <w:color w:val="005B7A"/>
        </w:rPr>
        <w:t>Te Tautuhi o Rongo - Understanding the Framework</w:t>
      </w:r>
    </w:p>
    <w:p w14:paraId="2AEB882A" w14:textId="6D0DCBDC" w:rsidR="00D66CCD" w:rsidRPr="00D66CCD" w:rsidRDefault="00D66CCD" w:rsidP="00D66CCD">
      <w:pPr>
        <w:pStyle w:val="Heading2"/>
        <w:rPr>
          <w:color w:val="005B7A"/>
        </w:rPr>
      </w:pPr>
      <w:r w:rsidRPr="00D66CCD">
        <w:rPr>
          <w:color w:val="005B7A"/>
        </w:rPr>
        <w:t>Te Tautuhi ō Rongo: the Framework</w:t>
      </w:r>
    </w:p>
    <w:p w14:paraId="28D3744C" w14:textId="77777777" w:rsidR="00D66CCD" w:rsidRDefault="00D66CCD" w:rsidP="00D66CCD">
      <w:r w:rsidRPr="00F50170">
        <w:rPr>
          <w:rStyle w:val="QuoteChar"/>
        </w:rPr>
        <w:t>Te Tautuhi ō Rongo means to listen, consider, and analyse deliberatively before speaking, writing, and advising</w:t>
      </w:r>
      <w:r w:rsidRPr="004E40A9">
        <w:t>.</w:t>
      </w:r>
    </w:p>
    <w:p w14:paraId="64DA25A6" w14:textId="75C91323" w:rsidR="00EF47B4" w:rsidRDefault="00EF47B4">
      <w:r>
        <w:rPr>
          <w:noProof/>
        </w:rPr>
        <w:drawing>
          <wp:anchor distT="0" distB="0" distL="114300" distR="114300" simplePos="0" relativeHeight="251658240" behindDoc="1" locked="0" layoutInCell="1" allowOverlap="1" wp14:anchorId="3E42FDCD" wp14:editId="4C956A0E">
            <wp:simplePos x="0" y="0"/>
            <wp:positionH relativeFrom="margin">
              <wp:align>right</wp:align>
            </wp:positionH>
            <wp:positionV relativeFrom="paragraph">
              <wp:posOffset>59055</wp:posOffset>
            </wp:positionV>
            <wp:extent cx="5731510" cy="3648710"/>
            <wp:effectExtent l="0" t="0" r="0" b="0"/>
            <wp:wrapTight wrapText="bothSides">
              <wp:wrapPolygon edited="0">
                <wp:start x="1077" y="2255"/>
                <wp:lineTo x="1077" y="3834"/>
                <wp:lineTo x="3733" y="4285"/>
                <wp:lineTo x="1723" y="4511"/>
                <wp:lineTo x="1723" y="16916"/>
                <wp:lineTo x="1364" y="18721"/>
                <wp:lineTo x="1364" y="19172"/>
                <wp:lineTo x="1867" y="19510"/>
                <wp:lineTo x="2226" y="19510"/>
                <wp:lineTo x="20389" y="19172"/>
                <wp:lineTo x="20317" y="18721"/>
                <wp:lineTo x="19815" y="16916"/>
                <wp:lineTo x="20030" y="8571"/>
                <wp:lineTo x="19671" y="7894"/>
                <wp:lineTo x="19958" y="7443"/>
                <wp:lineTo x="19958" y="4624"/>
                <wp:lineTo x="20389" y="4285"/>
                <wp:lineTo x="20676" y="2481"/>
                <wp:lineTo x="19599" y="2255"/>
                <wp:lineTo x="1077" y="2255"/>
              </wp:wrapPolygon>
            </wp:wrapTight>
            <wp:docPr id="80437798" name="Picture 1" descr="Diagram illustrating Te Ngako framework with a central circle labeled &quot;Te Ngako&quot; surrounded by four quadrants: Quality Participation, Roles and Representation, Quality Governance, and Taura Here. Axes labeled with Rangatiratanga to Mana Whakahaere vertically and Oriretanga to Partnership horizontally, highlighting relationships between stakeholders such as Tangata Whenua, Citizens, Iwi &amp; Hapu, and Crow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7798" name="Picture 1" descr="Diagram illustrating Te Ngako framework with a central circle labeled &quot;Te Ngako&quot; surrounded by four quadrants: Quality Participation, Roles and Representation, Quality Governance, and Taura Here. Axes labeled with Rangatiratanga to Mana Whakahaere vertically and Oriretanga to Partnership horizontally, highlighting relationships between stakeholders such as Tangata Whenua, Citizens, Iwi &amp; Hapu, and Crown.&#10;&#10;"/>
                    <pic:cNvPicPr/>
                  </pic:nvPicPr>
                  <pic:blipFill>
                    <a:blip r:embed="rId9">
                      <a:extLst>
                        <a:ext uri="{28A0092B-C50C-407E-A947-70E740481C1C}">
                          <a14:useLocalDpi xmlns:a14="http://schemas.microsoft.com/office/drawing/2010/main" val="0"/>
                        </a:ext>
                      </a:extLst>
                    </a:blip>
                    <a:stretch>
                      <a:fillRect/>
                    </a:stretch>
                  </pic:blipFill>
                  <pic:spPr>
                    <a:xfrm>
                      <a:off x="0" y="0"/>
                      <a:ext cx="5731510" cy="3648710"/>
                    </a:xfrm>
                    <a:prstGeom prst="rect">
                      <a:avLst/>
                    </a:prstGeom>
                  </pic:spPr>
                </pic:pic>
              </a:graphicData>
            </a:graphic>
          </wp:anchor>
        </w:drawing>
      </w:r>
    </w:p>
    <w:p w14:paraId="3BB6DA0C" w14:textId="74D6F6DB" w:rsidR="00D66CCD" w:rsidRDefault="00D66CCD"/>
    <w:p w14:paraId="37515B14" w14:textId="77777777" w:rsidR="00EF47B4" w:rsidRDefault="00EF47B4"/>
    <w:p w14:paraId="3ED82FB2" w14:textId="77777777" w:rsidR="00EF47B4" w:rsidRDefault="00EF47B4"/>
    <w:p w14:paraId="5A17984D" w14:textId="77777777" w:rsidR="00EF47B4" w:rsidRDefault="00EF47B4"/>
    <w:p w14:paraId="2335D831" w14:textId="77777777" w:rsidR="00EF47B4" w:rsidRDefault="00EF47B4"/>
    <w:p w14:paraId="7AB15617" w14:textId="77777777" w:rsidR="00EF47B4" w:rsidRDefault="00EF47B4"/>
    <w:p w14:paraId="49557737" w14:textId="77777777" w:rsidR="00EF47B4" w:rsidRDefault="00EF47B4"/>
    <w:p w14:paraId="09DEBAB8" w14:textId="77777777" w:rsidR="00EF47B4" w:rsidRDefault="00EF47B4"/>
    <w:p w14:paraId="6B58B08A" w14:textId="77777777" w:rsidR="00EF47B4" w:rsidRDefault="00EF47B4"/>
    <w:p w14:paraId="08A51C07" w14:textId="77777777" w:rsidR="00EF47B4" w:rsidRDefault="00EF47B4"/>
    <w:p w14:paraId="0F6A9F39" w14:textId="36A7901F" w:rsidR="00EF47B4" w:rsidRPr="00EF47B4" w:rsidRDefault="00EF47B4" w:rsidP="00EF47B4">
      <w:pPr>
        <w:pStyle w:val="Heading2"/>
      </w:pPr>
      <w:r w:rsidRPr="00EF47B4">
        <w:t>The purpose of Te Tautuhi ō Rongo</w:t>
      </w:r>
    </w:p>
    <w:p w14:paraId="086AFE6A" w14:textId="77777777" w:rsidR="00EF47B4" w:rsidRDefault="00EF47B4" w:rsidP="00EF47B4">
      <w:r w:rsidRPr="00EF47B4">
        <w:t>Te Tautuhi ō Rongo is a public policy framework that helps government agencies understand and respond to the different rights and interests of Māori. It acknowledges that, in accordance with Te Tiriti o Waitangi | The Treaty of Waitangi (Te Tiriti), Māori have collective rights as expressed through their hapū and Iwi, as well as individual rights and interests, as do all citizens of Aotearoa New Zealand.</w:t>
      </w:r>
    </w:p>
    <w:p w14:paraId="173FF477" w14:textId="77777777" w:rsidR="00EF47B4" w:rsidRDefault="00EF47B4" w:rsidP="00EF47B4"/>
    <w:p w14:paraId="266E47D3" w14:textId="77777777" w:rsidR="00EF47B4" w:rsidRPr="00EF47B4" w:rsidRDefault="00EF47B4" w:rsidP="00EF47B4">
      <w:r w:rsidRPr="00EF47B4">
        <w:rPr>
          <w:b/>
          <w:bCs/>
        </w:rPr>
        <w:t>Let’s take a deeper look into how the framework is structured</w:t>
      </w:r>
    </w:p>
    <w:p w14:paraId="0A3FC695" w14:textId="77777777" w:rsidR="00EF47B4" w:rsidRPr="00EF47B4" w:rsidRDefault="00EF47B4" w:rsidP="00EF47B4">
      <w:r w:rsidRPr="00EF47B4">
        <w:t>Te Tautuhi ō Rongo is built around three core components: the</w:t>
      </w:r>
      <w:r w:rsidRPr="00EF47B4">
        <w:rPr>
          <w:b/>
          <w:bCs/>
        </w:rPr>
        <w:t xml:space="preserve"> axes </w:t>
      </w:r>
      <w:r w:rsidRPr="00EF47B4">
        <w:t>and</w:t>
      </w:r>
      <w:r w:rsidRPr="00EF47B4">
        <w:rPr>
          <w:b/>
          <w:bCs/>
        </w:rPr>
        <w:t xml:space="preserve"> representative communities</w:t>
      </w:r>
      <w:r w:rsidRPr="00EF47B4">
        <w:t>, the</w:t>
      </w:r>
      <w:r w:rsidRPr="00EF47B4">
        <w:rPr>
          <w:b/>
          <w:bCs/>
        </w:rPr>
        <w:t xml:space="preserve"> elements</w:t>
      </w:r>
      <w:r w:rsidRPr="00EF47B4">
        <w:t xml:space="preserve">, and </w:t>
      </w:r>
      <w:r w:rsidRPr="00EF47B4">
        <w:rPr>
          <w:b/>
          <w:bCs/>
        </w:rPr>
        <w:t xml:space="preserve">Te Ngako </w:t>
      </w:r>
      <w:r w:rsidRPr="00EF47B4">
        <w:t>(the desired outcome).  </w:t>
      </w:r>
    </w:p>
    <w:p w14:paraId="052286E4" w14:textId="77777777" w:rsidR="00EF47B4" w:rsidRPr="00EF47B4" w:rsidRDefault="00EF47B4" w:rsidP="00EF47B4"/>
    <w:p w14:paraId="40DF0C5C" w14:textId="77777777" w:rsidR="00EF47B4" w:rsidRPr="00EF47B4" w:rsidRDefault="00EF47B4" w:rsidP="00EF47B4">
      <w:r w:rsidRPr="00EF47B4">
        <w:rPr>
          <w:b/>
          <w:bCs/>
        </w:rPr>
        <w:t>Let's start with the axes.</w:t>
      </w:r>
    </w:p>
    <w:p w14:paraId="0D066B8D" w14:textId="1C9C78C9" w:rsidR="00EF47B4" w:rsidRDefault="00EF47B4" w:rsidP="00EF47B4">
      <w:pPr>
        <w:pStyle w:val="Heading3"/>
      </w:pPr>
      <w:r w:rsidRPr="00EF47B4">
        <w:lastRenderedPageBreak/>
        <w:t>Partnership Axis</w:t>
      </w:r>
    </w:p>
    <w:p w14:paraId="5A09703E" w14:textId="77777777" w:rsidR="00EF47B4" w:rsidRPr="00EF47B4" w:rsidRDefault="00EF47B4" w:rsidP="00EF47B4">
      <w:pPr>
        <w:numPr>
          <w:ilvl w:val="0"/>
          <w:numId w:val="1"/>
        </w:numPr>
      </w:pPr>
      <w:r w:rsidRPr="00EF47B4">
        <w:t>Reflects the Preamble of Te Tiriti.</w:t>
      </w:r>
    </w:p>
    <w:p w14:paraId="3723D989" w14:textId="77777777" w:rsidR="00EF47B4" w:rsidRPr="00EF47B4" w:rsidRDefault="00EF47B4" w:rsidP="00EF47B4">
      <w:pPr>
        <w:numPr>
          <w:ilvl w:val="0"/>
          <w:numId w:val="1"/>
        </w:numPr>
      </w:pPr>
      <w:r w:rsidRPr="00EF47B4">
        <w:t>It speaks to the </w:t>
      </w:r>
      <w:r w:rsidRPr="00EF47B4">
        <w:rPr>
          <w:b/>
          <w:bCs/>
        </w:rPr>
        <w:t>relationship established between the signatories to the Treaty </w:t>
      </w:r>
      <w:r w:rsidRPr="00EF47B4">
        <w:t>- Crown &amp; rangatira of hapū and Iwi.</w:t>
      </w:r>
    </w:p>
    <w:p w14:paraId="755D1C88" w14:textId="77777777" w:rsidR="00EF47B4" w:rsidRPr="00EF47B4" w:rsidRDefault="00EF47B4" w:rsidP="00EF47B4">
      <w:pPr>
        <w:numPr>
          <w:ilvl w:val="0"/>
          <w:numId w:val="1"/>
        </w:numPr>
      </w:pPr>
      <w:r w:rsidRPr="00EF47B4">
        <w:t>This axis is the foundation and provides for macro-level initiatives where the Crown can work in partnership with hapū and Iwi.</w:t>
      </w:r>
    </w:p>
    <w:p w14:paraId="101C7D5A" w14:textId="77777777" w:rsidR="00EF47B4" w:rsidRPr="00EF47B4" w:rsidRDefault="00EF47B4" w:rsidP="00EF47B4">
      <w:pPr>
        <w:numPr>
          <w:ilvl w:val="0"/>
          <w:numId w:val="1"/>
        </w:numPr>
      </w:pPr>
      <w:r w:rsidRPr="00EF47B4">
        <w:t>It sets up how significant, shared decisions are made (like resources or important constitutional issues).</w:t>
      </w:r>
    </w:p>
    <w:p w14:paraId="3001A78F" w14:textId="77777777" w:rsidR="00EF47B4" w:rsidRPr="00EF47B4" w:rsidRDefault="00EF47B4" w:rsidP="00EF47B4">
      <w:pPr>
        <w:numPr>
          <w:ilvl w:val="0"/>
          <w:numId w:val="1"/>
        </w:numPr>
      </w:pPr>
      <w:r w:rsidRPr="00EF47B4">
        <w:t>Both sides must act fairly, honestly, and in good faith.</w:t>
      </w:r>
    </w:p>
    <w:p w14:paraId="29EC4915" w14:textId="77777777" w:rsidR="00EF47B4" w:rsidRDefault="00EF47B4"/>
    <w:p w14:paraId="3FE224E3" w14:textId="51FB6C0C" w:rsidR="00EF47B4" w:rsidRDefault="00EF47B4" w:rsidP="00EF47B4">
      <w:pPr>
        <w:pStyle w:val="Heading3"/>
      </w:pPr>
      <w:r w:rsidRPr="00EF47B4">
        <w:t>Kāwanatanga Axis</w:t>
      </w:r>
    </w:p>
    <w:p w14:paraId="50D90BE1" w14:textId="77777777" w:rsidR="00EF47B4" w:rsidRPr="00EF47B4" w:rsidRDefault="00EF47B4" w:rsidP="00EF47B4">
      <w:pPr>
        <w:numPr>
          <w:ilvl w:val="0"/>
          <w:numId w:val="2"/>
        </w:numPr>
      </w:pPr>
      <w:r w:rsidRPr="00EF47B4">
        <w:t>Reflects Article I of Te Tiriti.</w:t>
      </w:r>
    </w:p>
    <w:p w14:paraId="31A9A257" w14:textId="77777777" w:rsidR="00EF47B4" w:rsidRPr="00EF47B4" w:rsidRDefault="00EF47B4" w:rsidP="00EF47B4">
      <w:pPr>
        <w:numPr>
          <w:ilvl w:val="0"/>
          <w:numId w:val="2"/>
        </w:numPr>
      </w:pPr>
      <w:r w:rsidRPr="00EF47B4">
        <w:t>Represents the </w:t>
      </w:r>
      <w:r w:rsidRPr="00EF47B4">
        <w:rPr>
          <w:b/>
          <w:bCs/>
        </w:rPr>
        <w:t>Crown’s right to govern Aotearoa New Zealand under Te Tiriti.</w:t>
      </w:r>
    </w:p>
    <w:p w14:paraId="53C5A7CA" w14:textId="77777777" w:rsidR="00EF47B4" w:rsidRPr="00EF47B4" w:rsidRDefault="00EF47B4" w:rsidP="00EF47B4">
      <w:pPr>
        <w:numPr>
          <w:ilvl w:val="0"/>
          <w:numId w:val="2"/>
        </w:numPr>
      </w:pPr>
      <w:r w:rsidRPr="00EF47B4">
        <w:t>Where individual rights, interests and responsibilities of citizens are located.</w:t>
      </w:r>
    </w:p>
    <w:p w14:paraId="60C2D576" w14:textId="77777777" w:rsidR="00EF47B4" w:rsidRPr="00EF47B4" w:rsidRDefault="00EF47B4" w:rsidP="00EF47B4">
      <w:pPr>
        <w:numPr>
          <w:ilvl w:val="0"/>
          <w:numId w:val="2"/>
        </w:numPr>
      </w:pPr>
      <w:r w:rsidRPr="00EF47B4">
        <w:t>The Crown must provide services to, and protect the rights of, all citizens.</w:t>
      </w:r>
    </w:p>
    <w:p w14:paraId="2D83EAFB" w14:textId="77777777" w:rsidR="00EF47B4" w:rsidRPr="00EF47B4" w:rsidRDefault="00EF47B4" w:rsidP="00EF47B4">
      <w:pPr>
        <w:numPr>
          <w:ilvl w:val="0"/>
          <w:numId w:val="2"/>
        </w:numPr>
      </w:pPr>
      <w:r w:rsidRPr="00EF47B4">
        <w:t>Helps us understand the role of government to run the country and make day-to-day decisions.</w:t>
      </w:r>
    </w:p>
    <w:p w14:paraId="38DA743A" w14:textId="77777777" w:rsidR="00EF47B4" w:rsidRPr="00EF47B4" w:rsidRDefault="00EF47B4" w:rsidP="00EF47B4">
      <w:pPr>
        <w:numPr>
          <w:ilvl w:val="0"/>
          <w:numId w:val="2"/>
        </w:numPr>
      </w:pPr>
      <w:r w:rsidRPr="00EF47B4">
        <w:t>Public servants always reside here, giving free and frank advice to government.</w:t>
      </w:r>
    </w:p>
    <w:p w14:paraId="3F1D5C0B" w14:textId="77777777" w:rsidR="00EF47B4" w:rsidRDefault="00EF47B4"/>
    <w:p w14:paraId="304DB941" w14:textId="2D8903C0" w:rsidR="00EF47B4" w:rsidRDefault="00EF47B4" w:rsidP="00EF47B4">
      <w:pPr>
        <w:pStyle w:val="Heading3"/>
      </w:pPr>
      <w:r w:rsidRPr="00EF47B4">
        <w:t>Rangatiratanga Axis</w:t>
      </w:r>
    </w:p>
    <w:p w14:paraId="5986C827" w14:textId="77777777" w:rsidR="00EF47B4" w:rsidRPr="00EF47B4" w:rsidRDefault="00EF47B4" w:rsidP="00EF47B4">
      <w:pPr>
        <w:numPr>
          <w:ilvl w:val="0"/>
          <w:numId w:val="3"/>
        </w:numPr>
      </w:pPr>
      <w:r w:rsidRPr="00EF47B4">
        <w:t>Reflects Article II of Te Tiriti.</w:t>
      </w:r>
    </w:p>
    <w:p w14:paraId="22B97163" w14:textId="77777777" w:rsidR="00EF47B4" w:rsidRPr="00EF47B4" w:rsidRDefault="00EF47B4" w:rsidP="00EF47B4">
      <w:pPr>
        <w:numPr>
          <w:ilvl w:val="0"/>
          <w:numId w:val="3"/>
        </w:numPr>
      </w:pPr>
      <w:r w:rsidRPr="00EF47B4">
        <w:t>Recognises that Māori had existing rights prior to signing Te Tiriti.</w:t>
      </w:r>
    </w:p>
    <w:p w14:paraId="3F3FA80D" w14:textId="77777777" w:rsidR="00EF47B4" w:rsidRPr="00EF47B4" w:rsidRDefault="00EF47B4" w:rsidP="00EF47B4">
      <w:pPr>
        <w:numPr>
          <w:ilvl w:val="0"/>
          <w:numId w:val="3"/>
        </w:numPr>
      </w:pPr>
      <w:r w:rsidRPr="00EF47B4">
        <w:t>It’s about </w:t>
      </w:r>
      <w:r w:rsidRPr="00EF47B4">
        <w:rPr>
          <w:b/>
          <w:bCs/>
        </w:rPr>
        <w:t>self-determination</w:t>
      </w:r>
      <w:r w:rsidRPr="00EF47B4">
        <w:t> including mana and authority over land, culture, te reo, and resources.</w:t>
      </w:r>
    </w:p>
    <w:p w14:paraId="081EC056" w14:textId="77777777" w:rsidR="00EF47B4" w:rsidRPr="00EF47B4" w:rsidRDefault="00EF47B4" w:rsidP="00EF47B4">
      <w:pPr>
        <w:numPr>
          <w:ilvl w:val="0"/>
          <w:numId w:val="3"/>
        </w:numPr>
      </w:pPr>
      <w:r w:rsidRPr="00EF47B4">
        <w:t>The Crown’s role is to create conditions for Iwi and hapū to exercise self-determination, not to control.</w:t>
      </w:r>
    </w:p>
    <w:p w14:paraId="1EC54CE8" w14:textId="77777777" w:rsidR="00EF47B4" w:rsidRDefault="00EF47B4" w:rsidP="00EF47B4">
      <w:pPr>
        <w:numPr>
          <w:ilvl w:val="0"/>
          <w:numId w:val="3"/>
        </w:numPr>
      </w:pPr>
      <w:r w:rsidRPr="00EF47B4">
        <w:t>Where collective rights, interests and responsibilities are located as hapū, Iwi and tangata whenua.</w:t>
      </w:r>
    </w:p>
    <w:p w14:paraId="7584918E" w14:textId="77777777" w:rsidR="00EF47B4" w:rsidRDefault="00EF47B4" w:rsidP="00EF47B4">
      <w:pPr>
        <w:ind w:left="720"/>
      </w:pPr>
    </w:p>
    <w:p w14:paraId="615CCEEB" w14:textId="77777777" w:rsidR="00EF47B4" w:rsidRDefault="00EF47B4" w:rsidP="00EF47B4">
      <w:pPr>
        <w:ind w:left="720"/>
      </w:pPr>
    </w:p>
    <w:p w14:paraId="3A8CABAE" w14:textId="063E8927" w:rsidR="00EF47B4" w:rsidRDefault="00EF47B4" w:rsidP="00EF47B4">
      <w:pPr>
        <w:pStyle w:val="Heading3"/>
      </w:pPr>
      <w:r w:rsidRPr="00EF47B4">
        <w:lastRenderedPageBreak/>
        <w:t>Ōritetanga Axis</w:t>
      </w:r>
    </w:p>
    <w:p w14:paraId="3FDB874C" w14:textId="77777777" w:rsidR="00EF47B4" w:rsidRPr="00EF47B4" w:rsidRDefault="00EF47B4" w:rsidP="00EF47B4">
      <w:pPr>
        <w:numPr>
          <w:ilvl w:val="0"/>
          <w:numId w:val="4"/>
        </w:numPr>
      </w:pPr>
      <w:r w:rsidRPr="00EF47B4">
        <w:t>Reflects Article III of Te Tiriti.</w:t>
      </w:r>
    </w:p>
    <w:p w14:paraId="63E23796" w14:textId="77777777" w:rsidR="00EF47B4" w:rsidRPr="00EF47B4" w:rsidRDefault="00EF47B4" w:rsidP="00EF47B4">
      <w:pPr>
        <w:numPr>
          <w:ilvl w:val="0"/>
          <w:numId w:val="4"/>
        </w:numPr>
      </w:pPr>
      <w:r w:rsidRPr="00EF47B4">
        <w:t>Represents the Crown’s promise that its obligations are to all citizens of Aotearoa New Zealand, including Māori.</w:t>
      </w:r>
    </w:p>
    <w:p w14:paraId="787B728B" w14:textId="77777777" w:rsidR="00EF47B4" w:rsidRPr="00EF47B4" w:rsidRDefault="00EF47B4" w:rsidP="00EF47B4">
      <w:pPr>
        <w:numPr>
          <w:ilvl w:val="0"/>
          <w:numId w:val="4"/>
        </w:numPr>
      </w:pPr>
      <w:r w:rsidRPr="00EF47B4">
        <w:t>It is about </w:t>
      </w:r>
      <w:r w:rsidRPr="00EF47B4">
        <w:rPr>
          <w:b/>
          <w:bCs/>
        </w:rPr>
        <w:t>citizenship and equality,</w:t>
      </w:r>
      <w:r w:rsidRPr="00EF47B4">
        <w:t> ensuring equal rights and opportunities while also </w:t>
      </w:r>
      <w:r w:rsidRPr="00EF47B4">
        <w:rPr>
          <w:b/>
          <w:bCs/>
        </w:rPr>
        <w:t>respecting Māori collective identity</w:t>
      </w:r>
      <w:r w:rsidRPr="00EF47B4">
        <w:t>.</w:t>
      </w:r>
    </w:p>
    <w:p w14:paraId="32E644C5" w14:textId="77777777" w:rsidR="00EF47B4" w:rsidRPr="00EF47B4" w:rsidRDefault="00EF47B4" w:rsidP="00EF47B4">
      <w:pPr>
        <w:numPr>
          <w:ilvl w:val="0"/>
          <w:numId w:val="4"/>
        </w:numPr>
      </w:pPr>
      <w:r w:rsidRPr="00EF47B4">
        <w:t>Reminds us that the Treaty established ‘citizenship’ for the first time.</w:t>
      </w:r>
    </w:p>
    <w:p w14:paraId="46E90039" w14:textId="77777777" w:rsidR="00EF47B4" w:rsidRDefault="00EF47B4" w:rsidP="00EF47B4">
      <w:pPr>
        <w:numPr>
          <w:ilvl w:val="0"/>
          <w:numId w:val="4"/>
        </w:numPr>
      </w:pPr>
      <w:r w:rsidRPr="00EF47B4">
        <w:t>It recognises the roles and associated rights, interests and responsibilities of Māori as tangata whenua and as citizens of Aotearoa New Zealand.</w:t>
      </w:r>
    </w:p>
    <w:p w14:paraId="46DF4A76" w14:textId="77777777" w:rsidR="00EF47B4" w:rsidRDefault="00EF47B4" w:rsidP="00EF47B4"/>
    <w:p w14:paraId="27BF3EFF" w14:textId="40D8EB80" w:rsidR="00EF47B4" w:rsidRDefault="00EF47B4" w:rsidP="00EF47B4">
      <w:pPr>
        <w:pStyle w:val="Heading2"/>
      </w:pPr>
      <w:r w:rsidRPr="00EF47B4">
        <w:t>Representative communities</w:t>
      </w:r>
    </w:p>
    <w:p w14:paraId="586926BA" w14:textId="77777777" w:rsidR="00EF47B4" w:rsidRPr="00EF47B4" w:rsidRDefault="00EF47B4" w:rsidP="00EF47B4">
      <w:r w:rsidRPr="00EF47B4">
        <w:t>Each corner of the axes is made up of a representative community.  </w:t>
      </w:r>
    </w:p>
    <w:p w14:paraId="54FF890F" w14:textId="2FC95C14" w:rsidR="00EF47B4" w:rsidRDefault="00EF47B4" w:rsidP="00EF47B4">
      <w:pPr>
        <w:rPr>
          <w:b/>
          <w:bCs/>
        </w:rPr>
      </w:pPr>
      <w:r>
        <w:rPr>
          <w:b/>
          <w:bCs/>
        </w:rPr>
        <w:t>L</w:t>
      </w:r>
      <w:r w:rsidRPr="00EF47B4">
        <w:rPr>
          <w:b/>
          <w:bCs/>
        </w:rPr>
        <w:t>earn more about each one.</w:t>
      </w:r>
    </w:p>
    <w:p w14:paraId="17AB70FC" w14:textId="33D8E603" w:rsidR="00EF47B4" w:rsidRPr="00EF47B4" w:rsidRDefault="00EF47B4" w:rsidP="00EF47B4">
      <w:r>
        <w:rPr>
          <w:noProof/>
        </w:rPr>
        <w:drawing>
          <wp:inline distT="0" distB="0" distL="0" distR="0" wp14:anchorId="22FCDC34" wp14:editId="127D36E7">
            <wp:extent cx="5731510" cy="3648710"/>
            <wp:effectExtent l="0" t="0" r="0" b="0"/>
            <wp:docPr id="241896510" name="Picture 2" descr="Diagram illustrating a framework centered on &quot;Te Ngako,&quot; highlighting four key areas: Quality Participation, Roles and Representation, Quality Governance, and Taura Here. The diagram is divided into quadrants with labels for Rangatiratanga, Oritetanga, Kawanatanga, and Partnership along the edges, indicating relationships between different groups and governance concep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96510" name="Picture 2" descr="Diagram illustrating a framework centered on &quot;Te Ngako,&quot; highlighting four key areas: Quality Participation, Roles and Representation, Quality Governance, and Taura Here. The diagram is divided into quadrants with labels for Rangatiratanga, Oritetanga, Kawanatanga, and Partnership along the edges, indicating relationships between different groups and governance concepts."/>
                    <pic:cNvPicPr/>
                  </pic:nvPicPr>
                  <pic:blipFill>
                    <a:blip r:embed="rId9">
                      <a:extLst>
                        <a:ext uri="{28A0092B-C50C-407E-A947-70E740481C1C}">
                          <a14:useLocalDpi xmlns:a14="http://schemas.microsoft.com/office/drawing/2010/main" val="0"/>
                        </a:ext>
                      </a:extLst>
                    </a:blip>
                    <a:stretch>
                      <a:fillRect/>
                    </a:stretch>
                  </pic:blipFill>
                  <pic:spPr>
                    <a:xfrm>
                      <a:off x="0" y="0"/>
                      <a:ext cx="5731510" cy="3648710"/>
                    </a:xfrm>
                    <a:prstGeom prst="rect">
                      <a:avLst/>
                    </a:prstGeom>
                  </pic:spPr>
                </pic:pic>
              </a:graphicData>
            </a:graphic>
          </wp:inline>
        </w:drawing>
      </w:r>
    </w:p>
    <w:p w14:paraId="315FBF11" w14:textId="77777777" w:rsidR="00EF47B4" w:rsidRPr="00EF47B4" w:rsidRDefault="00EF47B4" w:rsidP="00EF47B4"/>
    <w:p w14:paraId="255D340E" w14:textId="0C9C854C" w:rsidR="00EF47B4" w:rsidRDefault="00EF47B4" w:rsidP="00EF47B4">
      <w:pPr>
        <w:pStyle w:val="Heading3"/>
      </w:pPr>
      <w:r w:rsidRPr="00EF47B4">
        <w:t>Tangata Whenua</w:t>
      </w:r>
    </w:p>
    <w:p w14:paraId="2AE96751" w14:textId="77777777" w:rsidR="00EF47B4" w:rsidRPr="00EF47B4" w:rsidRDefault="00EF47B4" w:rsidP="00EF47B4">
      <w:pPr>
        <w:numPr>
          <w:ilvl w:val="0"/>
          <w:numId w:val="5"/>
        </w:numPr>
      </w:pPr>
      <w:r w:rsidRPr="00EF47B4">
        <w:t>Refers to ‘people of the land’ and to describe Māori of a particular locality or as a whole as the original inhabitants of Aotearoa New Zealand.</w:t>
      </w:r>
    </w:p>
    <w:p w14:paraId="26B44843" w14:textId="3E485585" w:rsidR="00EF47B4" w:rsidRDefault="00EF47B4" w:rsidP="00EF47B4">
      <w:pPr>
        <w:numPr>
          <w:ilvl w:val="0"/>
          <w:numId w:val="5"/>
        </w:numPr>
      </w:pPr>
      <w:r w:rsidRPr="00EF47B4">
        <w:lastRenderedPageBreak/>
        <w:t>Tangata whenua hold collective rights, interests and responsibilities, and as members of their whānau, hapū and Iwi.</w:t>
      </w:r>
    </w:p>
    <w:p w14:paraId="0853A78A" w14:textId="5A9802C4" w:rsidR="00EF47B4" w:rsidRDefault="00EF47B4" w:rsidP="00EF47B4">
      <w:pPr>
        <w:pStyle w:val="Heading3"/>
      </w:pPr>
      <w:r w:rsidRPr="00EF47B4">
        <w:t>Citizens (Māori and non-Māori)</w:t>
      </w:r>
    </w:p>
    <w:p w14:paraId="0D521D62" w14:textId="77777777" w:rsidR="00EF47B4" w:rsidRPr="00EF47B4" w:rsidRDefault="00EF47B4" w:rsidP="00EF47B4">
      <w:pPr>
        <w:numPr>
          <w:ilvl w:val="0"/>
          <w:numId w:val="6"/>
        </w:numPr>
      </w:pPr>
      <w:r w:rsidRPr="00EF47B4">
        <w:t>Individuals who have been granted citizenship either by birth, descent or by grant (refer to sections 6-8 of the Citizenship Act 1977).</w:t>
      </w:r>
    </w:p>
    <w:p w14:paraId="223DEF87" w14:textId="77777777" w:rsidR="00EF47B4" w:rsidRPr="00EF47B4" w:rsidRDefault="00EF47B4" w:rsidP="00EF47B4">
      <w:pPr>
        <w:numPr>
          <w:ilvl w:val="0"/>
          <w:numId w:val="6"/>
        </w:numPr>
      </w:pPr>
      <w:r w:rsidRPr="00EF47B4">
        <w:t>Citizenship includes rights and responsibilities (e.g. participation in society and democracy) and basic needs (e.g. health, education, employment).</w:t>
      </w:r>
    </w:p>
    <w:p w14:paraId="15FF668F" w14:textId="5F446B3E" w:rsidR="00EF47B4" w:rsidRDefault="00EF47B4" w:rsidP="00EF47B4">
      <w:pPr>
        <w:pStyle w:val="Heading3"/>
      </w:pPr>
      <w:r w:rsidRPr="00EF47B4">
        <w:t>Iwi and Hapū</w:t>
      </w:r>
    </w:p>
    <w:p w14:paraId="49AD7476" w14:textId="77777777" w:rsidR="00EF47B4" w:rsidRPr="00EF47B4" w:rsidRDefault="00EF47B4" w:rsidP="00EF47B4">
      <w:pPr>
        <w:numPr>
          <w:ilvl w:val="0"/>
          <w:numId w:val="7"/>
        </w:numPr>
      </w:pPr>
      <w:r w:rsidRPr="00EF47B4">
        <w:t>Represented by legally recognised governance entities, their chairpersons and boards</w:t>
      </w:r>
    </w:p>
    <w:p w14:paraId="1E599E06" w14:textId="77777777" w:rsidR="00EF47B4" w:rsidRPr="00EF47B4" w:rsidRDefault="00EF47B4" w:rsidP="00EF47B4">
      <w:pPr>
        <w:numPr>
          <w:ilvl w:val="0"/>
          <w:numId w:val="7"/>
        </w:numPr>
      </w:pPr>
      <w:r w:rsidRPr="00EF47B4">
        <w:t>Recognised through whakapapa (genealogy) and tradition</w:t>
      </w:r>
    </w:p>
    <w:p w14:paraId="6F1006C5" w14:textId="77777777" w:rsidR="00EF47B4" w:rsidRDefault="00EF47B4" w:rsidP="00EF47B4">
      <w:pPr>
        <w:numPr>
          <w:ilvl w:val="0"/>
          <w:numId w:val="7"/>
        </w:numPr>
      </w:pPr>
      <w:r w:rsidRPr="00EF47B4">
        <w:t>Hapū representatives are the original signatories of Te Tiriti, however Iwi are often the modern-day representative of a collective.</w:t>
      </w:r>
    </w:p>
    <w:p w14:paraId="64930626" w14:textId="2B72E416" w:rsidR="00EF47B4" w:rsidRDefault="00EF47B4" w:rsidP="00EF47B4">
      <w:pPr>
        <w:pStyle w:val="Heading3"/>
      </w:pPr>
      <w:r w:rsidRPr="00EF47B4">
        <w:t>The Crown</w:t>
      </w:r>
    </w:p>
    <w:p w14:paraId="67CE9B1E" w14:textId="77777777" w:rsidR="00EF47B4" w:rsidRPr="00EF47B4" w:rsidRDefault="00EF47B4" w:rsidP="00EF47B4">
      <w:pPr>
        <w:numPr>
          <w:ilvl w:val="0"/>
          <w:numId w:val="8"/>
        </w:numPr>
      </w:pPr>
      <w:r w:rsidRPr="00EF47B4">
        <w:t>The sovereign right of Aotearoa New Zealand, represented by the Governor-General; and Ministers, and the public service.</w:t>
      </w:r>
    </w:p>
    <w:p w14:paraId="7C21B60C" w14:textId="77777777" w:rsidR="00EF47B4" w:rsidRPr="00EF47B4" w:rsidRDefault="00EF47B4" w:rsidP="00EF47B4">
      <w:pPr>
        <w:numPr>
          <w:ilvl w:val="0"/>
          <w:numId w:val="8"/>
        </w:numPr>
      </w:pPr>
      <w:r w:rsidRPr="00EF47B4">
        <w:t>Ministers and the government are the direct representatives of the Crown and are therefore located in the corner of the axis.</w:t>
      </w:r>
    </w:p>
    <w:p w14:paraId="3451D6A2" w14:textId="77777777" w:rsidR="00EF47B4" w:rsidRDefault="00EF47B4" w:rsidP="00EF47B4">
      <w:pPr>
        <w:numPr>
          <w:ilvl w:val="0"/>
          <w:numId w:val="8"/>
        </w:numPr>
      </w:pPr>
      <w:r w:rsidRPr="00EF47B4">
        <w:t>Government agencies and public servants serve the government of the day and do not directly represent the Crown. They are located along the kāwanatanga continuum above the Crown.</w:t>
      </w:r>
    </w:p>
    <w:p w14:paraId="34BE0C94" w14:textId="728E0984" w:rsidR="00EF47B4" w:rsidRDefault="00EF47B4" w:rsidP="00450300">
      <w:pPr>
        <w:pStyle w:val="Heading3"/>
      </w:pPr>
    </w:p>
    <w:p w14:paraId="2F89D34B" w14:textId="447A7BDF" w:rsidR="00EF47B4" w:rsidRDefault="00EF47B4" w:rsidP="00450300">
      <w:pPr>
        <w:pStyle w:val="Heading3"/>
      </w:pPr>
      <w:r w:rsidRPr="00EF47B4">
        <w:t>Now that we’ve explored the axes and the representative communities - the foundation of the framework - let’s move into the elements.</w:t>
      </w:r>
    </w:p>
    <w:p w14:paraId="36382A51" w14:textId="77777777" w:rsidR="00450300" w:rsidRPr="00450300" w:rsidRDefault="00450300" w:rsidP="00450300"/>
    <w:p w14:paraId="0420E241" w14:textId="77777777" w:rsidR="00EF47B4" w:rsidRPr="00EF47B4" w:rsidRDefault="00EF47B4" w:rsidP="00EF47B4">
      <w:r w:rsidRPr="00EF47B4">
        <w:t xml:space="preserve">At the heart of this framework are four key elements: </w:t>
      </w:r>
      <w:r w:rsidRPr="00EF47B4">
        <w:rPr>
          <w:b/>
          <w:bCs/>
        </w:rPr>
        <w:t>Quality Participation, Quality Governance, Roles and Representation</w:t>
      </w:r>
      <w:r w:rsidRPr="00EF47B4">
        <w:t xml:space="preserve">, and </w:t>
      </w:r>
      <w:r w:rsidRPr="00EF47B4">
        <w:rPr>
          <w:b/>
          <w:bCs/>
        </w:rPr>
        <w:t>Taura Here</w:t>
      </w:r>
      <w:r w:rsidRPr="00EF47B4">
        <w:t>. These elements sit where the axes of the framework intersect. They show the relationships between the different communities represented in each corner.</w:t>
      </w:r>
    </w:p>
    <w:p w14:paraId="7C947EF3" w14:textId="22623CF8" w:rsidR="00EF47B4" w:rsidRPr="00EF47B4" w:rsidRDefault="00450300" w:rsidP="00EF47B4">
      <w:r>
        <w:rPr>
          <w:b/>
          <w:bCs/>
        </w:rPr>
        <w:t>L</w:t>
      </w:r>
      <w:r w:rsidR="00EF47B4" w:rsidRPr="00EF47B4">
        <w:rPr>
          <w:b/>
          <w:bCs/>
        </w:rPr>
        <w:t>earn more about each of the four elements</w:t>
      </w:r>
      <w:r>
        <w:rPr>
          <w:b/>
          <w:bCs/>
        </w:rPr>
        <w:t xml:space="preserve"> below</w:t>
      </w:r>
      <w:r w:rsidR="00EF47B4" w:rsidRPr="00EF47B4">
        <w:rPr>
          <w:b/>
          <w:bCs/>
        </w:rPr>
        <w:t>.</w:t>
      </w:r>
    </w:p>
    <w:p w14:paraId="0FD9AC04" w14:textId="77777777" w:rsidR="00EF47B4" w:rsidRPr="00EF47B4" w:rsidRDefault="00EF47B4" w:rsidP="00EF47B4"/>
    <w:p w14:paraId="364D05CB" w14:textId="77777777" w:rsidR="00EF47B4" w:rsidRPr="00EF47B4" w:rsidRDefault="00EF47B4" w:rsidP="00EF47B4"/>
    <w:p w14:paraId="094B168C" w14:textId="77777777" w:rsidR="00EF47B4" w:rsidRPr="00EF47B4" w:rsidRDefault="00EF47B4" w:rsidP="00450300">
      <w:pPr>
        <w:pStyle w:val="Heading3"/>
      </w:pPr>
      <w:r w:rsidRPr="00EF47B4">
        <w:lastRenderedPageBreak/>
        <w:t>Quality Governance</w:t>
      </w:r>
    </w:p>
    <w:p w14:paraId="1E6FCD7B" w14:textId="5DA78399" w:rsidR="00EF47B4" w:rsidRPr="00EF47B4" w:rsidRDefault="00EF47B4" w:rsidP="00EF47B4">
      <w:r w:rsidRPr="00EF47B4">
        <w:t xml:space="preserve">This sits along the </w:t>
      </w:r>
      <w:r w:rsidRPr="00EF47B4">
        <w:rPr>
          <w:b/>
          <w:bCs/>
        </w:rPr>
        <w:t>Partnership Axis</w:t>
      </w:r>
      <w:r w:rsidRPr="00EF47B4">
        <w:t>. It reflects the high-level relationship and agreement established by Te Tiriti | The Treaty between hapū and Iwi and the Crown as signatories to the Treaty.</w:t>
      </w:r>
    </w:p>
    <w:p w14:paraId="422AB070" w14:textId="77777777" w:rsidR="00EF47B4" w:rsidRDefault="00EF47B4" w:rsidP="00EF47B4">
      <w:r w:rsidRPr="00EF47B4">
        <w:t>Quality Governance is the foundation for how hapū and Iwi work with the Crown through appropriate partnership arrangements that support the best possible outcomes for whānau, hapū, Iwi, Māori and wider Aotearoa New Zealand.  </w:t>
      </w:r>
    </w:p>
    <w:p w14:paraId="124014D6" w14:textId="77777777" w:rsidR="00EF47B4" w:rsidRDefault="00EF47B4" w:rsidP="00EF47B4"/>
    <w:p w14:paraId="0C5780CF" w14:textId="77777777" w:rsidR="00EF47B4" w:rsidRPr="00EF47B4" w:rsidRDefault="00EF47B4" w:rsidP="00450300">
      <w:pPr>
        <w:pStyle w:val="Heading3"/>
      </w:pPr>
      <w:r w:rsidRPr="00EF47B4">
        <w:t>Quality Participation</w:t>
      </w:r>
    </w:p>
    <w:p w14:paraId="13F5360E" w14:textId="77777777" w:rsidR="00EF47B4" w:rsidRPr="00EF47B4" w:rsidRDefault="00EF47B4" w:rsidP="00EF47B4">
      <w:r w:rsidRPr="00EF47B4">
        <w:t>This focuses on:</w:t>
      </w:r>
    </w:p>
    <w:p w14:paraId="41277B0C" w14:textId="5D90C5CF" w:rsidR="00EF47B4" w:rsidRPr="00EF47B4" w:rsidRDefault="00EF47B4" w:rsidP="00EF47B4">
      <w:pPr>
        <w:numPr>
          <w:ilvl w:val="0"/>
          <w:numId w:val="9"/>
        </w:numPr>
      </w:pPr>
      <w:r w:rsidRPr="00EF47B4">
        <w:t>personal and individual based rights, interests and responsibilities</w:t>
      </w:r>
    </w:p>
    <w:p w14:paraId="22A84B89" w14:textId="160178BC" w:rsidR="00EF47B4" w:rsidRPr="00EF47B4" w:rsidRDefault="00EF47B4" w:rsidP="00EF47B4">
      <w:pPr>
        <w:numPr>
          <w:ilvl w:val="0"/>
          <w:numId w:val="9"/>
        </w:numPr>
      </w:pPr>
      <w:r w:rsidRPr="00EF47B4">
        <w:t>promoting equality of opportunity between Māori and non-Māori</w:t>
      </w:r>
    </w:p>
    <w:p w14:paraId="2D6687E2" w14:textId="77777777" w:rsidR="00EF47B4" w:rsidRPr="00EF47B4" w:rsidRDefault="00EF47B4" w:rsidP="00EF47B4">
      <w:pPr>
        <w:numPr>
          <w:ilvl w:val="0"/>
          <w:numId w:val="9"/>
        </w:numPr>
      </w:pPr>
      <w:r w:rsidRPr="00EF47B4">
        <w:t>maintains opportunities for Māori to practice rangatiratanga.</w:t>
      </w:r>
    </w:p>
    <w:p w14:paraId="5177BD05" w14:textId="77777777" w:rsidR="00EF47B4" w:rsidRPr="00EF47B4" w:rsidRDefault="00EF47B4" w:rsidP="00EF47B4">
      <w:r w:rsidRPr="00EF47B4">
        <w:t>It is where the Kāwanatanga Axis (the Crown’s role) and the Rangatiratanga Axis (Māori self-determination) come together. This means the Crown has a role to make sure all citizens in Aotearoa New Zealand have equal opportunities to take part in society. It also means creating space for whānau, hapū, Iwi, and tangata whenua to set their own priorities and practice rangatiratanga.</w:t>
      </w:r>
    </w:p>
    <w:p w14:paraId="3059A79E" w14:textId="77777777" w:rsidR="00EF47B4" w:rsidRPr="00EF47B4" w:rsidRDefault="00EF47B4" w:rsidP="00EF47B4"/>
    <w:p w14:paraId="70C99671" w14:textId="77777777" w:rsidR="00EF47B4" w:rsidRPr="00EF47B4" w:rsidRDefault="00EF47B4" w:rsidP="00450300">
      <w:pPr>
        <w:pStyle w:val="Heading3"/>
      </w:pPr>
      <w:r w:rsidRPr="00EF47B4">
        <w:t>Roles &amp; Representation</w:t>
      </w:r>
    </w:p>
    <w:p w14:paraId="009D695C" w14:textId="77777777" w:rsidR="00EF47B4" w:rsidRPr="00EF47B4" w:rsidRDefault="00EF47B4" w:rsidP="00EF47B4">
      <w:r w:rsidRPr="00EF47B4">
        <w:t>This element recognises the distinct roles and associated rights, interests and responsibilities that can apply to a single person or be dispersed between collectives.</w:t>
      </w:r>
    </w:p>
    <w:p w14:paraId="31DFAF16" w14:textId="77777777" w:rsidR="00EF47B4" w:rsidRPr="00EF47B4" w:rsidRDefault="00EF47B4" w:rsidP="00EF47B4">
      <w:r w:rsidRPr="00EF47B4">
        <w:t xml:space="preserve">This element sits across the </w:t>
      </w:r>
      <w:r w:rsidRPr="00EF47B4">
        <w:rPr>
          <w:b/>
          <w:bCs/>
        </w:rPr>
        <w:t>Kāwanatanga Axis</w:t>
      </w:r>
      <w:r w:rsidRPr="00EF47B4">
        <w:t xml:space="preserve"> and the</w:t>
      </w:r>
      <w:r w:rsidRPr="00EF47B4">
        <w:rPr>
          <w:b/>
          <w:bCs/>
        </w:rPr>
        <w:t xml:space="preserve"> Ōritetanga Axis</w:t>
      </w:r>
      <w:r w:rsidRPr="00EF47B4">
        <w:t>. It reminds us to seek clarity and confirm context regarding how our roles and those of others shift in a given moment. This informs our engagement, the questions we ask and the conversations we have.</w:t>
      </w:r>
    </w:p>
    <w:p w14:paraId="5FFF1748" w14:textId="77777777" w:rsidR="00EF47B4" w:rsidRDefault="00EF47B4"/>
    <w:p w14:paraId="704746F8" w14:textId="77777777" w:rsidR="00EF47B4" w:rsidRPr="00EF47B4" w:rsidRDefault="00EF47B4" w:rsidP="00450300">
      <w:pPr>
        <w:pStyle w:val="Heading3"/>
      </w:pPr>
      <w:r w:rsidRPr="00EF47B4">
        <w:t>Taura Here</w:t>
      </w:r>
    </w:p>
    <w:p w14:paraId="797A8376" w14:textId="77777777" w:rsidR="00EF47B4" w:rsidRPr="00EF47B4" w:rsidRDefault="00EF47B4" w:rsidP="00EF47B4">
      <w:r w:rsidRPr="00EF47B4">
        <w:t>This recognises the kinship relationships between Māori as citizens of Aotearoa New Zealand and as groupings of whānau, hapū and Iwi.</w:t>
      </w:r>
    </w:p>
    <w:p w14:paraId="65D27C17" w14:textId="4E142F29" w:rsidR="00EF47B4" w:rsidRDefault="00EF47B4">
      <w:r w:rsidRPr="00EF47B4">
        <w:t xml:space="preserve">It reminds us that Māori have collective rights, interests and responsibilities as whānau, hapū, Iwi and tangata whenua. These are deeply rooted in relationships, identity, and place, including when living outside tribal areas. The Crown does not have a role in </w:t>
      </w:r>
      <w:r w:rsidRPr="00EF47B4">
        <w:lastRenderedPageBreak/>
        <w:t>determining how these are exercised, but can be informed and influenced by whānau, hapū and Iwi aspirations and what works for them to help guide how policies and services are shaped.</w:t>
      </w:r>
    </w:p>
    <w:p w14:paraId="0B76E6A2" w14:textId="77777777" w:rsidR="00450300" w:rsidRDefault="00450300"/>
    <w:p w14:paraId="4B7FB671" w14:textId="21DE8988" w:rsidR="00EF47B4" w:rsidRDefault="00EF47B4" w:rsidP="00EF47B4">
      <w:pPr>
        <w:pStyle w:val="Heading2"/>
      </w:pPr>
      <w:r>
        <w:t>Let’s look at an example</w:t>
      </w:r>
    </w:p>
    <w:p w14:paraId="2816F27F" w14:textId="77777777" w:rsidR="00EF47B4" w:rsidRPr="00EF47B4" w:rsidRDefault="00EF47B4" w:rsidP="00EF47B4">
      <w:r w:rsidRPr="00EF47B4">
        <w:t xml:space="preserve">The </w:t>
      </w:r>
      <w:r w:rsidRPr="00EF47B4">
        <w:rPr>
          <w:b/>
          <w:bCs/>
        </w:rPr>
        <w:t xml:space="preserve">Roles and Representation </w:t>
      </w:r>
      <w:r w:rsidRPr="00EF47B4">
        <w:t>element recognises the different rights and roles of an individual, such as their private and individual rights as a citizen, and/or as a member of a collective (e.g. hapū and Iwi). It also considers the influence these different roles play for someone who serves as a representative of the government (e.g. a public servant who is Māori).</w:t>
      </w:r>
    </w:p>
    <w:p w14:paraId="1361BBDF" w14:textId="4AFF0964" w:rsidR="00EF47B4" w:rsidRDefault="00450300" w:rsidP="00EF47B4">
      <w:r>
        <w:rPr>
          <w:noProof/>
        </w:rPr>
        <w:drawing>
          <wp:anchor distT="0" distB="0" distL="114300" distR="114300" simplePos="0" relativeHeight="251658241" behindDoc="1" locked="0" layoutInCell="1" allowOverlap="1" wp14:anchorId="328E9351" wp14:editId="1D6ED40B">
            <wp:simplePos x="0" y="0"/>
            <wp:positionH relativeFrom="column">
              <wp:posOffset>95250</wp:posOffset>
            </wp:positionH>
            <wp:positionV relativeFrom="paragraph">
              <wp:posOffset>494030</wp:posOffset>
            </wp:positionV>
            <wp:extent cx="1752600" cy="2084705"/>
            <wp:effectExtent l="0" t="0" r="0" b="0"/>
            <wp:wrapSquare wrapText="bothSides"/>
            <wp:docPr id="1821094848" name="Picture 3" descr="Illustration of a person sitting on a chair with legs crossed and one hand resting on the chin, suggesting a thoughtful or contemplative pose. The person wears a teal long-sleeve shirt and blue pants, with the chair colored in light green and teal tones. Person is introducing the character Rawiri&#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94848" name="Picture 3" descr="Illustration of a person sitting on a chair with legs crossed and one hand resting on the chin, suggesting a thoughtful or contemplative pose. The person wears a teal long-sleeve shirt and blue pants, with the chair colored in light green and teal tones. Person is introducing the character Rawiri&#10;&#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2084705"/>
                    </a:xfrm>
                    <a:prstGeom prst="rect">
                      <a:avLst/>
                    </a:prstGeom>
                  </pic:spPr>
                </pic:pic>
              </a:graphicData>
            </a:graphic>
            <wp14:sizeRelH relativeFrom="margin">
              <wp14:pctWidth>0</wp14:pctWidth>
            </wp14:sizeRelH>
            <wp14:sizeRelV relativeFrom="margin">
              <wp14:pctHeight>0</wp14:pctHeight>
            </wp14:sizeRelV>
          </wp:anchor>
        </w:drawing>
      </w:r>
      <w:r w:rsidR="00EF47B4" w:rsidRPr="00EF47B4">
        <w:t>It provides a structured approach to consider which role is primary and which is secondary, to better inform meaningful engagement.</w:t>
      </w:r>
    </w:p>
    <w:p w14:paraId="35577310" w14:textId="51B294B0" w:rsidR="00EF47B4" w:rsidRDefault="00EF47B4" w:rsidP="00EF47B4"/>
    <w:p w14:paraId="70E20E9D" w14:textId="17117850" w:rsidR="00EF47B4" w:rsidRPr="00EF47B4" w:rsidRDefault="00EF47B4" w:rsidP="00EF47B4">
      <w:r w:rsidRPr="00EF47B4">
        <w:rPr>
          <w:b/>
          <w:bCs/>
        </w:rPr>
        <w:t>“</w:t>
      </w:r>
      <w:r w:rsidRPr="00EF47B4">
        <w:t>This is Rawiri. He's a public servant who works in a regional office and is working on a project that will require public engagement to inform policy decisions</w:t>
      </w:r>
      <w:r w:rsidRPr="00EF47B4">
        <w:rPr>
          <w:b/>
          <w:bCs/>
        </w:rPr>
        <w:t>”</w:t>
      </w:r>
    </w:p>
    <w:p w14:paraId="3ADCA8C0" w14:textId="77777777" w:rsidR="00EF47B4" w:rsidRDefault="00EF47B4"/>
    <w:p w14:paraId="4DE5427E" w14:textId="77777777" w:rsidR="00450300" w:rsidRDefault="00450300">
      <w:pPr>
        <w:rPr>
          <w:b/>
          <w:bCs/>
        </w:rPr>
      </w:pPr>
    </w:p>
    <w:p w14:paraId="55198ED8" w14:textId="77777777" w:rsidR="00450300" w:rsidRDefault="00450300">
      <w:pPr>
        <w:rPr>
          <w:b/>
          <w:bCs/>
        </w:rPr>
      </w:pPr>
    </w:p>
    <w:p w14:paraId="518E8071" w14:textId="3E070ADC" w:rsidR="00450300" w:rsidRDefault="00450300">
      <w:pPr>
        <w:rPr>
          <w:b/>
          <w:bCs/>
        </w:rPr>
      </w:pPr>
    </w:p>
    <w:p w14:paraId="4D7B3BA2" w14:textId="2F385CE9" w:rsidR="00EF47B4" w:rsidRPr="00450300" w:rsidRDefault="00450300">
      <w:r>
        <w:rPr>
          <w:noProof/>
        </w:rPr>
        <w:drawing>
          <wp:anchor distT="0" distB="0" distL="114300" distR="114300" simplePos="0" relativeHeight="251658242" behindDoc="1" locked="0" layoutInCell="1" allowOverlap="1" wp14:anchorId="3ED5CC2C" wp14:editId="0AD69BA9">
            <wp:simplePos x="0" y="0"/>
            <wp:positionH relativeFrom="margin">
              <wp:align>left</wp:align>
            </wp:positionH>
            <wp:positionV relativeFrom="paragraph">
              <wp:posOffset>19050</wp:posOffset>
            </wp:positionV>
            <wp:extent cx="1955165" cy="2066925"/>
            <wp:effectExtent l="0" t="0" r="6985" b="9525"/>
            <wp:wrapSquare wrapText="bothSides"/>
            <wp:docPr id="554995715" name="Picture 5" descr="Illustration of a Rawiri character sitting on a chair with one leg crossed over the other, wearing a blue checkered shirt, teal pants, and dark shoes. The figure is leaning back with one hand resting on the chin and the other on the stomach, suggesting a relaxed or contemplative postu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95715" name="Picture 5" descr="Illustration of a Rawiri character sitting on a chair with one leg crossed over the other, wearing a blue checkered shirt, teal pants, and dark shoes. The figure is leaning back with one hand resting on the chin and the other on the stomach, suggesting a relaxed or contemplative posture.&#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5165" cy="2066925"/>
                    </a:xfrm>
                    <a:prstGeom prst="rect">
                      <a:avLst/>
                    </a:prstGeom>
                  </pic:spPr>
                </pic:pic>
              </a:graphicData>
            </a:graphic>
            <wp14:sizeRelH relativeFrom="margin">
              <wp14:pctWidth>0</wp14:pctWidth>
            </wp14:sizeRelH>
            <wp14:sizeRelV relativeFrom="margin">
              <wp14:pctHeight>0</wp14:pctHeight>
            </wp14:sizeRelV>
          </wp:anchor>
        </w:drawing>
      </w:r>
      <w:r w:rsidR="00EF47B4" w:rsidRPr="00450300">
        <w:t>“Rawiri is considering the element of Roles and Representation and what this might mean for the project and engagement approach. The project could have an impact on local Iwi and communities. He needs to consider who needs to be engaged with and in what capacity (e.g. as an Iwi leader or private citizen). This will help him identify who the primary representative communities and stakeholders are.”</w:t>
      </w:r>
    </w:p>
    <w:p w14:paraId="7C854890" w14:textId="77777777" w:rsidR="00450300" w:rsidRPr="00450300" w:rsidRDefault="00450300" w:rsidP="00450300"/>
    <w:p w14:paraId="43CDD68E" w14:textId="18163CDF" w:rsidR="00EF47B4" w:rsidRDefault="00EF47B4" w:rsidP="00EF47B4">
      <w:pPr>
        <w:pStyle w:val="Heading2"/>
      </w:pPr>
      <w:r w:rsidRPr="00EF47B4">
        <w:t>Here are some prompting questions from Te Tautuhi ō Rongo that can help Rawiri in his planning</w:t>
      </w:r>
    </w:p>
    <w:p w14:paraId="3B2695CC" w14:textId="77777777" w:rsidR="00450300" w:rsidRDefault="00450300" w:rsidP="00450300">
      <w:pPr>
        <w:pStyle w:val="ListParagraph"/>
        <w:numPr>
          <w:ilvl w:val="0"/>
          <w:numId w:val="10"/>
        </w:numPr>
      </w:pPr>
      <w:r w:rsidRPr="00450300">
        <w:t>Who are the primary representative communities and stakeholders in relation to the issue or opportunity that need to be engaged with?</w:t>
      </w:r>
    </w:p>
    <w:p w14:paraId="106014DF" w14:textId="77777777" w:rsidR="00450300" w:rsidRPr="00450300" w:rsidRDefault="00450300" w:rsidP="00450300">
      <w:pPr>
        <w:pStyle w:val="ListParagraph"/>
        <w:numPr>
          <w:ilvl w:val="0"/>
          <w:numId w:val="10"/>
        </w:numPr>
      </w:pPr>
      <w:r w:rsidRPr="00450300">
        <w:t>How will this engagement be prioritised through the policy process?</w:t>
      </w:r>
    </w:p>
    <w:p w14:paraId="256F56E2" w14:textId="77777777" w:rsidR="00450300" w:rsidRPr="00450300" w:rsidRDefault="00450300" w:rsidP="00450300">
      <w:pPr>
        <w:pStyle w:val="ListParagraph"/>
        <w:numPr>
          <w:ilvl w:val="0"/>
          <w:numId w:val="10"/>
        </w:numPr>
      </w:pPr>
      <w:r w:rsidRPr="00450300">
        <w:lastRenderedPageBreak/>
        <w:t>Has the role and representation of Māori as hapū, Iwi and tangata whenua and as citizens of Aotearoa New Zealand been recognised and provided for in policy development?</w:t>
      </w:r>
    </w:p>
    <w:p w14:paraId="63421E2C" w14:textId="77777777" w:rsidR="00450300" w:rsidRPr="00450300" w:rsidRDefault="00450300" w:rsidP="00450300"/>
    <w:p w14:paraId="72E668B4" w14:textId="77777777" w:rsidR="00450300" w:rsidRPr="00450300" w:rsidRDefault="00450300" w:rsidP="00450300">
      <w:pPr>
        <w:pStyle w:val="Heading2"/>
      </w:pPr>
      <w:r w:rsidRPr="00450300">
        <w:t>What is Te Ngako?</w:t>
      </w:r>
    </w:p>
    <w:p w14:paraId="07F3F50F" w14:textId="77777777" w:rsidR="00450300" w:rsidRPr="00450300" w:rsidRDefault="00450300" w:rsidP="00450300">
      <w:r w:rsidRPr="00450300">
        <w:t>The point where all four of the elements and axes intersect is called ‘</w:t>
      </w:r>
      <w:r w:rsidRPr="00450300">
        <w:rPr>
          <w:b/>
          <w:bCs/>
        </w:rPr>
        <w:t>Te Ngako</w:t>
      </w:r>
      <w:r w:rsidRPr="00450300">
        <w:t>’. It can be described as the desired outcome of a policy or engagement approach.</w:t>
      </w:r>
    </w:p>
    <w:p w14:paraId="350D0383" w14:textId="77777777" w:rsidR="00450300" w:rsidRPr="00450300" w:rsidRDefault="00450300" w:rsidP="00450300">
      <w:r w:rsidRPr="00450300">
        <w:t>Te Ngako shows the outcome we are aiming for. What it looks like can change depending on the project and when, in a process, the framework is being used. Te Ngako might also shift as the project moves forward. It could be a big, long-term goal, a clear target, or a real result from the actions taken.</w:t>
      </w:r>
    </w:p>
    <w:p w14:paraId="34F5EC81" w14:textId="26E73A69" w:rsidR="00450300" w:rsidRPr="00450300" w:rsidRDefault="00450300" w:rsidP="00450300">
      <w:r w:rsidRPr="00450300">
        <w:t>There may be cases where the four points don't intersect as, depending on the kaupapa, not all elements may apply. There are also different layers of Te Ngako – for example, you might have a large overall desired state outcome but also create lower-level outcomes to move through the project.</w:t>
      </w:r>
    </w:p>
    <w:p w14:paraId="597ED5DF" w14:textId="77777777" w:rsidR="00450300" w:rsidRPr="00450300" w:rsidRDefault="00450300" w:rsidP="00450300">
      <w:r w:rsidRPr="00450300">
        <w:t xml:space="preserve">You’ve now explored the key components of Te Tautuhi ō Rongo, the axes, the representative communities, the elements, and Te Ngako - and importantly, how they work together to guide our work as public servants. </w:t>
      </w:r>
    </w:p>
    <w:p w14:paraId="2D96BA99" w14:textId="0FB8A3CA" w:rsidR="00450300" w:rsidRPr="00450300" w:rsidRDefault="00450300" w:rsidP="00450300">
      <w:pPr>
        <w:pStyle w:val="Heading3"/>
      </w:pPr>
      <w:r w:rsidRPr="00450300">
        <w:t>Understanding this structure helps us:</w:t>
      </w:r>
    </w:p>
    <w:p w14:paraId="0A8158D3" w14:textId="77777777" w:rsidR="00450300" w:rsidRPr="00450300" w:rsidRDefault="00450300" w:rsidP="00450300">
      <w:pPr>
        <w:numPr>
          <w:ilvl w:val="0"/>
          <w:numId w:val="11"/>
        </w:numPr>
      </w:pPr>
      <w:r w:rsidRPr="00450300">
        <w:t>locate ourselves within the framework as public servants</w:t>
      </w:r>
    </w:p>
    <w:p w14:paraId="1F3956F1" w14:textId="77777777" w:rsidR="00450300" w:rsidRPr="00450300" w:rsidRDefault="00450300" w:rsidP="00450300">
      <w:pPr>
        <w:numPr>
          <w:ilvl w:val="0"/>
          <w:numId w:val="11"/>
        </w:numPr>
      </w:pPr>
      <w:r w:rsidRPr="00450300">
        <w:t xml:space="preserve">identify who is impacted by our work, and </w:t>
      </w:r>
    </w:p>
    <w:p w14:paraId="75C92F8B" w14:textId="77777777" w:rsidR="00450300" w:rsidRDefault="00450300" w:rsidP="00450300">
      <w:pPr>
        <w:numPr>
          <w:ilvl w:val="0"/>
          <w:numId w:val="11"/>
        </w:numPr>
      </w:pPr>
      <w:r w:rsidRPr="00450300">
        <w:t>clarify what outcomes we’re striving for</w:t>
      </w:r>
    </w:p>
    <w:p w14:paraId="1F537A0E" w14:textId="77777777" w:rsidR="00450300" w:rsidRDefault="00450300" w:rsidP="00450300"/>
    <w:p w14:paraId="3C96A620" w14:textId="77777777" w:rsidR="00450300" w:rsidRPr="00450300" w:rsidRDefault="00450300" w:rsidP="00450300">
      <w:r w:rsidRPr="00450300">
        <w:rPr>
          <w:b/>
          <w:bCs/>
        </w:rPr>
        <w:t>If you would like additional resources, you can check out the guidance and framework on the Te Puni Kōkiri website.</w:t>
      </w:r>
    </w:p>
    <w:p w14:paraId="65583E97" w14:textId="71C84BB2" w:rsidR="00450300" w:rsidRPr="00450300" w:rsidRDefault="00450300" w:rsidP="00450300">
      <w:hyperlink r:id="rId12" w:history="1">
        <w:r w:rsidRPr="00B937DC">
          <w:rPr>
            <w:rStyle w:val="Hyperlink"/>
          </w:rPr>
          <w:t>https://www.tpk.govt.nz/en/mo-te-puni-kokiri/our-stories-and-media/our-policy-approach-te-tautuhi-o-rongo</w:t>
        </w:r>
      </w:hyperlink>
      <w:r>
        <w:t xml:space="preserve"> </w:t>
      </w:r>
    </w:p>
    <w:p w14:paraId="08429B7B" w14:textId="77777777" w:rsidR="00EF47B4" w:rsidRDefault="00EF47B4">
      <w:pPr>
        <w:rPr>
          <w:b/>
          <w:bCs/>
        </w:rPr>
      </w:pPr>
    </w:p>
    <w:p w14:paraId="1D348B32" w14:textId="272BBEFD" w:rsidR="006177D0" w:rsidRPr="00EF47B4" w:rsidRDefault="006177D0">
      <w:pPr>
        <w:rPr>
          <w:b/>
          <w:bCs/>
        </w:rPr>
      </w:pPr>
      <w:r>
        <w:rPr>
          <w:b/>
          <w:bCs/>
        </w:rPr>
        <w:t>End</w:t>
      </w:r>
    </w:p>
    <w:sectPr w:rsidR="006177D0" w:rsidRPr="00EF4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FAF"/>
    <w:multiLevelType w:val="multilevel"/>
    <w:tmpl w:val="4698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300F2"/>
    <w:multiLevelType w:val="multilevel"/>
    <w:tmpl w:val="F0A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DF4448"/>
    <w:multiLevelType w:val="multilevel"/>
    <w:tmpl w:val="9128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4429E"/>
    <w:multiLevelType w:val="multilevel"/>
    <w:tmpl w:val="CDEA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F6E9E"/>
    <w:multiLevelType w:val="multilevel"/>
    <w:tmpl w:val="C7B6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1D7D4F"/>
    <w:multiLevelType w:val="multilevel"/>
    <w:tmpl w:val="379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D4C6A"/>
    <w:multiLevelType w:val="multilevel"/>
    <w:tmpl w:val="A1B0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74DC5"/>
    <w:multiLevelType w:val="multilevel"/>
    <w:tmpl w:val="9AF6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E401F"/>
    <w:multiLevelType w:val="multilevel"/>
    <w:tmpl w:val="604C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AE4895"/>
    <w:multiLevelType w:val="hybridMultilevel"/>
    <w:tmpl w:val="76AC3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EC4119F"/>
    <w:multiLevelType w:val="multilevel"/>
    <w:tmpl w:val="560A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165001">
    <w:abstractNumId w:val="4"/>
  </w:num>
  <w:num w:numId="2" w16cid:durableId="1513647651">
    <w:abstractNumId w:val="1"/>
  </w:num>
  <w:num w:numId="3" w16cid:durableId="1505045733">
    <w:abstractNumId w:val="0"/>
  </w:num>
  <w:num w:numId="4" w16cid:durableId="1397700657">
    <w:abstractNumId w:val="8"/>
  </w:num>
  <w:num w:numId="5" w16cid:durableId="163131782">
    <w:abstractNumId w:val="6"/>
  </w:num>
  <w:num w:numId="6" w16cid:durableId="249854607">
    <w:abstractNumId w:val="5"/>
  </w:num>
  <w:num w:numId="7" w16cid:durableId="1934392844">
    <w:abstractNumId w:val="3"/>
  </w:num>
  <w:num w:numId="8" w16cid:durableId="186331690">
    <w:abstractNumId w:val="7"/>
  </w:num>
  <w:num w:numId="9" w16cid:durableId="1105927474">
    <w:abstractNumId w:val="10"/>
  </w:num>
  <w:num w:numId="10" w16cid:durableId="675886218">
    <w:abstractNumId w:val="9"/>
  </w:num>
  <w:num w:numId="11" w16cid:durableId="1509978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CD"/>
    <w:rsid w:val="00450300"/>
    <w:rsid w:val="006177D0"/>
    <w:rsid w:val="007D18F7"/>
    <w:rsid w:val="00BA2433"/>
    <w:rsid w:val="00BA457C"/>
    <w:rsid w:val="00D66CCD"/>
    <w:rsid w:val="00EF47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609E"/>
  <w15:chartTrackingRefBased/>
  <w15:docId w15:val="{2069900D-BBFB-4106-896A-ACB467AD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CD"/>
  </w:style>
  <w:style w:type="paragraph" w:styleId="Heading1">
    <w:name w:val="heading 1"/>
    <w:basedOn w:val="Normal"/>
    <w:next w:val="Normal"/>
    <w:link w:val="Heading1Char"/>
    <w:uiPriority w:val="9"/>
    <w:qFormat/>
    <w:rsid w:val="00D66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6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6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6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6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CCD"/>
    <w:rPr>
      <w:rFonts w:eastAsiaTheme="majorEastAsia" w:cstheme="majorBidi"/>
      <w:color w:val="272727" w:themeColor="text1" w:themeTint="D8"/>
    </w:rPr>
  </w:style>
  <w:style w:type="paragraph" w:styleId="Title">
    <w:name w:val="Title"/>
    <w:basedOn w:val="Normal"/>
    <w:next w:val="Normal"/>
    <w:link w:val="TitleChar"/>
    <w:uiPriority w:val="10"/>
    <w:qFormat/>
    <w:rsid w:val="00D66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CCD"/>
    <w:pPr>
      <w:spacing w:before="160"/>
      <w:jc w:val="center"/>
    </w:pPr>
    <w:rPr>
      <w:i/>
      <w:iCs/>
      <w:color w:val="404040" w:themeColor="text1" w:themeTint="BF"/>
    </w:rPr>
  </w:style>
  <w:style w:type="character" w:customStyle="1" w:styleId="QuoteChar">
    <w:name w:val="Quote Char"/>
    <w:basedOn w:val="DefaultParagraphFont"/>
    <w:link w:val="Quote"/>
    <w:uiPriority w:val="29"/>
    <w:rsid w:val="00D66CCD"/>
    <w:rPr>
      <w:i/>
      <w:iCs/>
      <w:color w:val="404040" w:themeColor="text1" w:themeTint="BF"/>
    </w:rPr>
  </w:style>
  <w:style w:type="paragraph" w:styleId="ListParagraph">
    <w:name w:val="List Paragraph"/>
    <w:basedOn w:val="Normal"/>
    <w:uiPriority w:val="34"/>
    <w:qFormat/>
    <w:rsid w:val="00D66CCD"/>
    <w:pPr>
      <w:ind w:left="720"/>
      <w:contextualSpacing/>
    </w:pPr>
  </w:style>
  <w:style w:type="character" w:styleId="IntenseEmphasis">
    <w:name w:val="Intense Emphasis"/>
    <w:basedOn w:val="DefaultParagraphFont"/>
    <w:uiPriority w:val="21"/>
    <w:qFormat/>
    <w:rsid w:val="00D66CCD"/>
    <w:rPr>
      <w:i/>
      <w:iCs/>
      <w:color w:val="0F4761" w:themeColor="accent1" w:themeShade="BF"/>
    </w:rPr>
  </w:style>
  <w:style w:type="paragraph" w:styleId="IntenseQuote">
    <w:name w:val="Intense Quote"/>
    <w:basedOn w:val="Normal"/>
    <w:next w:val="Normal"/>
    <w:link w:val="IntenseQuoteChar"/>
    <w:uiPriority w:val="30"/>
    <w:qFormat/>
    <w:rsid w:val="00D66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CCD"/>
    <w:rPr>
      <w:i/>
      <w:iCs/>
      <w:color w:val="0F4761" w:themeColor="accent1" w:themeShade="BF"/>
    </w:rPr>
  </w:style>
  <w:style w:type="character" w:styleId="IntenseReference">
    <w:name w:val="Intense Reference"/>
    <w:basedOn w:val="DefaultParagraphFont"/>
    <w:uiPriority w:val="32"/>
    <w:qFormat/>
    <w:rsid w:val="00D66CCD"/>
    <w:rPr>
      <w:b/>
      <w:bCs/>
      <w:smallCaps/>
      <w:color w:val="0F4761" w:themeColor="accent1" w:themeShade="BF"/>
      <w:spacing w:val="5"/>
    </w:rPr>
  </w:style>
  <w:style w:type="character" w:styleId="Hyperlink">
    <w:name w:val="Hyperlink"/>
    <w:basedOn w:val="DefaultParagraphFont"/>
    <w:uiPriority w:val="99"/>
    <w:unhideWhenUsed/>
    <w:rsid w:val="00450300"/>
    <w:rPr>
      <w:color w:val="467886" w:themeColor="hyperlink"/>
      <w:u w:val="single"/>
    </w:rPr>
  </w:style>
  <w:style w:type="character" w:styleId="UnresolvedMention">
    <w:name w:val="Unresolved Mention"/>
    <w:basedOn w:val="DefaultParagraphFont"/>
    <w:uiPriority w:val="99"/>
    <w:semiHidden/>
    <w:unhideWhenUsed/>
    <w:rsid w:val="0045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pk.govt.nz/en/mo-te-puni-kokiri/our-stories-and-media/our-policy-approach-te-tautuhi-o-ron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TKMLDC-1899142907-306727</_dlc_DocId>
    <_dlc_DocIdUrl xmlns="26365202-4b37-46f6-8f4a-657aef1497de">
      <Url>https://sscnz.sharepoint.com/sites/LDC/_layouts/15/DocIdRedir.aspx?ID=TKMLDC-1899142907-306727</Url>
      <Description>TKMLDC-1899142907-306727</Description>
    </_dlc_DocIdUrl>
  </documentManagement>
</p:properties>
</file>

<file path=customXml/itemProps1.xml><?xml version="1.0" encoding="utf-8"?>
<ds:datastoreItem xmlns:ds="http://schemas.openxmlformats.org/officeDocument/2006/customXml" ds:itemID="{42ACABEA-88E1-4F74-94A4-1FBEEBA316EB}">
  <ds:schemaRefs>
    <ds:schemaRef ds:uri="http://schemas.microsoft.com/sharepoint/v3/contenttype/forms"/>
  </ds:schemaRefs>
</ds:datastoreItem>
</file>

<file path=customXml/itemProps2.xml><?xml version="1.0" encoding="utf-8"?>
<ds:datastoreItem xmlns:ds="http://schemas.openxmlformats.org/officeDocument/2006/customXml" ds:itemID="{9A48E27D-0577-424C-AF0B-FE7C90D7E45B}">
  <ds:schemaRefs>
    <ds:schemaRef ds:uri="http://schemas.microsoft.com/sharepoint/events"/>
  </ds:schemaRefs>
</ds:datastoreItem>
</file>

<file path=customXml/itemProps3.xml><?xml version="1.0" encoding="utf-8"?>
<ds:datastoreItem xmlns:ds="http://schemas.openxmlformats.org/officeDocument/2006/customXml" ds:itemID="{E16EB72F-12CA-4E72-ABC4-CFCA1536E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455E7-C6A3-4B28-9A12-81DA7C0E27C6}">
  <ds:schemaRefs>
    <ds:schemaRef ds:uri="http://schemas.microsoft.com/office/2006/metadata/properties"/>
    <ds:schemaRef ds:uri="http://schemas.microsoft.com/office/infopath/2007/PartnerControls"/>
    <ds:schemaRef ds:uri="26365202-4b37-46f6-8f4a-657aef1497de"/>
    <ds:schemaRef ds:uri="9dc116e7-e094-410d-8ce2-2c15de1f6263"/>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1537</Words>
  <Characters>8334</Characters>
  <Application>Microsoft Office Word</Application>
  <DocSecurity>0</DocSecurity>
  <Lines>203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Wakelin</dc:creator>
  <cp:keywords/>
  <dc:description/>
  <cp:lastModifiedBy>Kate Wakelin</cp:lastModifiedBy>
  <cp:revision>3</cp:revision>
  <dcterms:created xsi:type="dcterms:W3CDTF">2026-03-30T21:24:00Z</dcterms:created>
  <dcterms:modified xsi:type="dcterms:W3CDTF">2026-03-31T20:33:00Z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c88130b8-cbb0-462b-a9a1-042a16d98f85</vt:lpwstr>
  </property>
  <property fmtid="{D5CDD505-2E9C-101B-9397-08002B2CF9AE}" pid="4" name="MediaServiceImageTags">
    <vt:lpwstr/>
  </property>
</Properties>
</file>