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11E4" w14:textId="0878D812" w:rsidR="00517A86" w:rsidRPr="00517A86" w:rsidRDefault="00517A86" w:rsidP="00517A86">
      <w:pPr>
        <w:pStyle w:val="Heading1"/>
      </w:pPr>
      <w:r w:rsidRPr="00517A86">
        <w:t>Te Tautuhi ō Rongo Video</w:t>
      </w:r>
      <w:r>
        <w:t xml:space="preserve"> Transcript</w:t>
      </w:r>
    </w:p>
    <w:p w14:paraId="3B3C430F" w14:textId="77777777" w:rsidR="00517A86" w:rsidRPr="00846493" w:rsidRDefault="00517A86" w:rsidP="00517A86">
      <w:pPr>
        <w:rPr>
          <w:sz w:val="26"/>
          <w:szCs w:val="26"/>
        </w:rPr>
      </w:pPr>
      <w:r w:rsidRPr="00846493">
        <w:rPr>
          <w:sz w:val="26"/>
          <w:szCs w:val="26"/>
        </w:rPr>
        <w:t>In this video, you’ll be introduced to Te Tautuhi ō Rongo – a framework developed by Te Puni Kōkiri to support public servants in delivering better policy and engagement outcomes, grounded in a positive reading of the principles of Te Tiriti o Waitangi | The Treaty of Waitangi.</w:t>
      </w:r>
    </w:p>
    <w:p w14:paraId="29092474" w14:textId="77777777" w:rsidR="00517A86" w:rsidRPr="00846493" w:rsidRDefault="00517A86" w:rsidP="00517A86">
      <w:pPr>
        <w:rPr>
          <w:sz w:val="26"/>
          <w:szCs w:val="26"/>
        </w:rPr>
      </w:pPr>
      <w:r w:rsidRPr="00846493">
        <w:rPr>
          <w:sz w:val="26"/>
          <w:szCs w:val="26"/>
        </w:rPr>
        <w:t>Te Tautuhi ō Rongo means to listen, consider, and analyse deliberatively before speaking, writing, or advising. It’s a way of working that encourages thoughtful decision-making to support the Crown to give effect to Te Tiriti | The Treaty.</w:t>
      </w:r>
    </w:p>
    <w:p w14:paraId="44F36A64" w14:textId="77777777" w:rsidR="00517A86" w:rsidRPr="00846493" w:rsidRDefault="00517A86" w:rsidP="00517A86">
      <w:pPr>
        <w:rPr>
          <w:sz w:val="26"/>
          <w:szCs w:val="26"/>
        </w:rPr>
      </w:pPr>
      <w:r w:rsidRPr="00846493">
        <w:rPr>
          <w:sz w:val="26"/>
          <w:szCs w:val="26"/>
        </w:rPr>
        <w:t>As public servants, we often work on policies that affect Māori – both as citizens and as tangata whenua. Te Tautuhi ō Rongo helps us distinguish between these roles and understand the collective and individual rights, interests, and responsibilities of whānau, hapū, Iwi, and Māori as citizens.</w:t>
      </w:r>
    </w:p>
    <w:p w14:paraId="04C73620" w14:textId="77777777" w:rsidR="00517A86" w:rsidRPr="00846493" w:rsidRDefault="00517A86" w:rsidP="00517A86">
      <w:pPr>
        <w:rPr>
          <w:sz w:val="26"/>
          <w:szCs w:val="26"/>
        </w:rPr>
      </w:pPr>
      <w:r w:rsidRPr="00846493">
        <w:rPr>
          <w:sz w:val="26"/>
          <w:szCs w:val="26"/>
        </w:rPr>
        <w:t xml:space="preserve">It’s not a checklist or a replacement for other policy tools. Instead, it complements existing approaches by helping us ask better questions, identify who is impacted, and design more effective, inclusive solutions. It </w:t>
      </w:r>
      <w:r w:rsidRPr="00846493">
        <w:rPr>
          <w:rFonts w:cs="Arial"/>
          <w:sz w:val="26"/>
          <w:szCs w:val="26"/>
        </w:rPr>
        <w:t>provides public servants with a consistent structured approach to the application of Te Tiriti |The Treaty across a range of kaupapa and engagement.</w:t>
      </w:r>
    </w:p>
    <w:p w14:paraId="65EBB383" w14:textId="77777777" w:rsidR="00517A86" w:rsidRDefault="00517A86" w:rsidP="00517A86">
      <w:pPr>
        <w:rPr>
          <w:sz w:val="26"/>
          <w:szCs w:val="26"/>
        </w:rPr>
      </w:pPr>
      <w:r w:rsidRPr="00846493">
        <w:rPr>
          <w:sz w:val="26"/>
          <w:szCs w:val="26"/>
        </w:rPr>
        <w:t xml:space="preserve">Te Tautuhi ō Rongo is built around four axes, each grounded in an article of Te Tiriti o Waitangi. </w:t>
      </w:r>
    </w:p>
    <w:p w14:paraId="24C7148D" w14:textId="7594BB8B" w:rsidR="00517A86" w:rsidRPr="00846493" w:rsidRDefault="00517A86" w:rsidP="00517A86">
      <w:pPr>
        <w:rPr>
          <w:sz w:val="26"/>
          <w:szCs w:val="26"/>
        </w:rPr>
      </w:pPr>
      <w:r w:rsidRPr="00846493">
        <w:rPr>
          <w:sz w:val="26"/>
          <w:szCs w:val="26"/>
        </w:rPr>
        <w:t>The four axes are:</w:t>
      </w:r>
    </w:p>
    <w:p w14:paraId="046C3D91" w14:textId="77777777" w:rsidR="00517A86" w:rsidRPr="00517A86" w:rsidRDefault="00517A86" w:rsidP="00517A86">
      <w:pPr>
        <w:pStyle w:val="ListParagraph"/>
        <w:numPr>
          <w:ilvl w:val="0"/>
          <w:numId w:val="2"/>
        </w:numPr>
        <w:rPr>
          <w:sz w:val="26"/>
          <w:szCs w:val="26"/>
        </w:rPr>
      </w:pPr>
      <w:r w:rsidRPr="00517A86">
        <w:rPr>
          <w:sz w:val="26"/>
          <w:szCs w:val="26"/>
        </w:rPr>
        <w:t>Partnership Axis,</w:t>
      </w:r>
    </w:p>
    <w:p w14:paraId="47829D12" w14:textId="77777777" w:rsidR="00517A86" w:rsidRPr="00517A86" w:rsidRDefault="00517A86" w:rsidP="00517A86">
      <w:pPr>
        <w:pStyle w:val="ListParagraph"/>
        <w:numPr>
          <w:ilvl w:val="0"/>
          <w:numId w:val="2"/>
        </w:numPr>
        <w:rPr>
          <w:sz w:val="26"/>
          <w:szCs w:val="26"/>
        </w:rPr>
      </w:pPr>
      <w:r w:rsidRPr="00517A86">
        <w:rPr>
          <w:sz w:val="26"/>
          <w:szCs w:val="26"/>
        </w:rPr>
        <w:t>Kāwanatanga Axis,</w:t>
      </w:r>
    </w:p>
    <w:p w14:paraId="78D09A9F" w14:textId="77777777" w:rsidR="00517A86" w:rsidRPr="00517A86" w:rsidRDefault="00517A86" w:rsidP="00517A86">
      <w:pPr>
        <w:pStyle w:val="ListParagraph"/>
        <w:numPr>
          <w:ilvl w:val="0"/>
          <w:numId w:val="2"/>
        </w:numPr>
        <w:rPr>
          <w:sz w:val="26"/>
          <w:szCs w:val="26"/>
        </w:rPr>
      </w:pPr>
      <w:r w:rsidRPr="00517A86">
        <w:rPr>
          <w:sz w:val="26"/>
          <w:szCs w:val="26"/>
        </w:rPr>
        <w:t xml:space="preserve">Rangatiratanga Axis and </w:t>
      </w:r>
    </w:p>
    <w:p w14:paraId="75C8B2DB" w14:textId="77777777" w:rsidR="00517A86" w:rsidRPr="00517A86" w:rsidRDefault="00517A86" w:rsidP="00517A86">
      <w:pPr>
        <w:pStyle w:val="ListParagraph"/>
        <w:numPr>
          <w:ilvl w:val="0"/>
          <w:numId w:val="2"/>
        </w:numPr>
        <w:rPr>
          <w:sz w:val="26"/>
          <w:szCs w:val="26"/>
        </w:rPr>
      </w:pPr>
      <w:r w:rsidRPr="00517A86">
        <w:rPr>
          <w:sz w:val="26"/>
          <w:szCs w:val="26"/>
        </w:rPr>
        <w:t>Ōritetanga Axis.</w:t>
      </w:r>
    </w:p>
    <w:p w14:paraId="2F826762" w14:textId="77777777" w:rsidR="00517A86" w:rsidRPr="00846493" w:rsidRDefault="00517A86" w:rsidP="00517A86">
      <w:pPr>
        <w:rPr>
          <w:sz w:val="26"/>
          <w:szCs w:val="26"/>
        </w:rPr>
      </w:pPr>
      <w:r w:rsidRPr="00846493">
        <w:rPr>
          <w:sz w:val="26"/>
          <w:szCs w:val="26"/>
        </w:rPr>
        <w:br/>
        <w:t>Each corner of the axis is made up of a representative community:</w:t>
      </w:r>
    </w:p>
    <w:p w14:paraId="38C4DCC4" w14:textId="77777777" w:rsidR="00517A86" w:rsidRPr="00517A86" w:rsidRDefault="00517A86" w:rsidP="00517A86">
      <w:pPr>
        <w:pStyle w:val="ListParagraph"/>
        <w:numPr>
          <w:ilvl w:val="0"/>
          <w:numId w:val="3"/>
        </w:numPr>
        <w:rPr>
          <w:sz w:val="26"/>
          <w:szCs w:val="26"/>
        </w:rPr>
      </w:pPr>
      <w:r w:rsidRPr="00517A86">
        <w:rPr>
          <w:sz w:val="26"/>
          <w:szCs w:val="26"/>
        </w:rPr>
        <w:t>Iwi and hapū,</w:t>
      </w:r>
    </w:p>
    <w:p w14:paraId="73560D96" w14:textId="77777777" w:rsidR="00517A86" w:rsidRPr="00517A86" w:rsidRDefault="00517A86" w:rsidP="00517A86">
      <w:pPr>
        <w:pStyle w:val="ListParagraph"/>
        <w:numPr>
          <w:ilvl w:val="0"/>
          <w:numId w:val="3"/>
        </w:numPr>
        <w:rPr>
          <w:sz w:val="26"/>
          <w:szCs w:val="26"/>
        </w:rPr>
      </w:pPr>
      <w:r w:rsidRPr="00517A86">
        <w:rPr>
          <w:sz w:val="26"/>
          <w:szCs w:val="26"/>
        </w:rPr>
        <w:t>Tangata whenua,</w:t>
      </w:r>
    </w:p>
    <w:p w14:paraId="47543126" w14:textId="77777777" w:rsidR="00517A86" w:rsidRPr="00517A86" w:rsidRDefault="00517A86" w:rsidP="00517A86">
      <w:pPr>
        <w:pStyle w:val="ListParagraph"/>
        <w:numPr>
          <w:ilvl w:val="0"/>
          <w:numId w:val="3"/>
        </w:numPr>
        <w:rPr>
          <w:sz w:val="26"/>
          <w:szCs w:val="26"/>
        </w:rPr>
      </w:pPr>
      <w:r w:rsidRPr="00517A86">
        <w:rPr>
          <w:sz w:val="26"/>
          <w:szCs w:val="26"/>
        </w:rPr>
        <w:t>Citizens (Māori and non-Māori) and</w:t>
      </w:r>
    </w:p>
    <w:p w14:paraId="03EE49D0" w14:textId="77777777" w:rsidR="00517A86" w:rsidRPr="00517A86" w:rsidRDefault="00517A86" w:rsidP="00517A86">
      <w:pPr>
        <w:pStyle w:val="ListParagraph"/>
        <w:numPr>
          <w:ilvl w:val="0"/>
          <w:numId w:val="3"/>
        </w:numPr>
        <w:rPr>
          <w:sz w:val="26"/>
          <w:szCs w:val="26"/>
        </w:rPr>
      </w:pPr>
      <w:r w:rsidRPr="00517A86">
        <w:rPr>
          <w:sz w:val="26"/>
          <w:szCs w:val="26"/>
        </w:rPr>
        <w:t>The Crown.</w:t>
      </w:r>
    </w:p>
    <w:p w14:paraId="750F1112" w14:textId="77777777" w:rsidR="00517A86" w:rsidRPr="00846493" w:rsidRDefault="00517A86" w:rsidP="00517A86">
      <w:pPr>
        <w:rPr>
          <w:sz w:val="26"/>
          <w:szCs w:val="26"/>
        </w:rPr>
      </w:pPr>
      <w:r w:rsidRPr="00846493">
        <w:rPr>
          <w:sz w:val="26"/>
          <w:szCs w:val="26"/>
        </w:rPr>
        <w:t>And each axis and its representative communities connect to four key elements that guide how we apply the framework in practice.  These are:</w:t>
      </w:r>
    </w:p>
    <w:p w14:paraId="666B7BE1" w14:textId="77777777" w:rsidR="00517A86" w:rsidRDefault="00517A86" w:rsidP="00517A86">
      <w:pPr>
        <w:pStyle w:val="ListParagraph"/>
        <w:numPr>
          <w:ilvl w:val="0"/>
          <w:numId w:val="4"/>
        </w:numPr>
        <w:rPr>
          <w:sz w:val="26"/>
          <w:szCs w:val="26"/>
        </w:rPr>
      </w:pPr>
      <w:r w:rsidRPr="00517A86">
        <w:rPr>
          <w:sz w:val="26"/>
          <w:szCs w:val="26"/>
        </w:rPr>
        <w:t>Quality Governance,</w:t>
      </w:r>
    </w:p>
    <w:p w14:paraId="387AFBC1" w14:textId="77777777" w:rsidR="00517A86" w:rsidRDefault="00517A86" w:rsidP="00517A86">
      <w:pPr>
        <w:pStyle w:val="ListParagraph"/>
        <w:numPr>
          <w:ilvl w:val="0"/>
          <w:numId w:val="4"/>
        </w:numPr>
        <w:rPr>
          <w:sz w:val="26"/>
          <w:szCs w:val="26"/>
        </w:rPr>
      </w:pPr>
      <w:r w:rsidRPr="00517A86">
        <w:rPr>
          <w:sz w:val="26"/>
          <w:szCs w:val="26"/>
        </w:rPr>
        <w:lastRenderedPageBreak/>
        <w:t>Quality Participation,</w:t>
      </w:r>
    </w:p>
    <w:p w14:paraId="63C4BC4C" w14:textId="77777777" w:rsidR="00517A86" w:rsidRDefault="00517A86" w:rsidP="00517A86">
      <w:pPr>
        <w:pStyle w:val="ListParagraph"/>
        <w:numPr>
          <w:ilvl w:val="0"/>
          <w:numId w:val="4"/>
        </w:numPr>
        <w:rPr>
          <w:sz w:val="26"/>
          <w:szCs w:val="26"/>
        </w:rPr>
      </w:pPr>
      <w:r w:rsidRPr="00517A86">
        <w:rPr>
          <w:sz w:val="26"/>
          <w:szCs w:val="26"/>
        </w:rPr>
        <w:t>Roles and Representation,</w:t>
      </w:r>
    </w:p>
    <w:p w14:paraId="5E0ED6AC" w14:textId="6621B9F1" w:rsidR="00517A86" w:rsidRPr="00517A86" w:rsidRDefault="00517A86" w:rsidP="00517A86">
      <w:pPr>
        <w:pStyle w:val="ListParagraph"/>
        <w:numPr>
          <w:ilvl w:val="0"/>
          <w:numId w:val="4"/>
        </w:numPr>
        <w:rPr>
          <w:sz w:val="26"/>
          <w:szCs w:val="26"/>
        </w:rPr>
      </w:pPr>
      <w:r w:rsidRPr="00517A86">
        <w:rPr>
          <w:sz w:val="26"/>
          <w:szCs w:val="26"/>
        </w:rPr>
        <w:t>Taura Here.</w:t>
      </w:r>
    </w:p>
    <w:p w14:paraId="30313207" w14:textId="77777777" w:rsidR="00517A86" w:rsidRPr="00846493" w:rsidRDefault="00517A86" w:rsidP="00517A86">
      <w:pPr>
        <w:rPr>
          <w:sz w:val="26"/>
          <w:szCs w:val="26"/>
        </w:rPr>
      </w:pPr>
      <w:r w:rsidRPr="00846493">
        <w:rPr>
          <w:sz w:val="26"/>
          <w:szCs w:val="26"/>
        </w:rPr>
        <w:t>At the centre of the framework is Te Ngako – the point where all four elements intersect. It represents the desired outcome of your strategy, policy, engagement, project, etc. Te Ngako can shift depending on the stage of your work, but it always reflects a balance of governance, participation, representation, and connection.</w:t>
      </w:r>
    </w:p>
    <w:p w14:paraId="71D6FF50" w14:textId="77777777" w:rsidR="00517A86" w:rsidRPr="00846493" w:rsidRDefault="00517A86" w:rsidP="00517A86">
      <w:pPr>
        <w:rPr>
          <w:sz w:val="26"/>
          <w:szCs w:val="26"/>
        </w:rPr>
      </w:pPr>
      <w:r w:rsidRPr="00846493">
        <w:rPr>
          <w:sz w:val="26"/>
          <w:szCs w:val="26"/>
        </w:rPr>
        <w:t>Te Tautuhi ō Rongo is a practical tool. Use it to:</w:t>
      </w:r>
    </w:p>
    <w:p w14:paraId="600D82BE" w14:textId="77777777" w:rsidR="00517A86" w:rsidRPr="00846493" w:rsidRDefault="00517A86" w:rsidP="00517A86">
      <w:pPr>
        <w:numPr>
          <w:ilvl w:val="0"/>
          <w:numId w:val="1"/>
        </w:numPr>
        <w:rPr>
          <w:sz w:val="26"/>
          <w:szCs w:val="26"/>
        </w:rPr>
      </w:pPr>
      <w:r w:rsidRPr="00846493">
        <w:rPr>
          <w:sz w:val="26"/>
          <w:szCs w:val="26"/>
        </w:rPr>
        <w:t>Understand your role as a public servant supporting the government of the day on the Kāwanatanga Axis in giving effect to Te Tiriti.</w:t>
      </w:r>
    </w:p>
    <w:p w14:paraId="015D9569" w14:textId="77777777" w:rsidR="00517A86" w:rsidRPr="00846493" w:rsidRDefault="00517A86" w:rsidP="00517A86">
      <w:pPr>
        <w:numPr>
          <w:ilvl w:val="0"/>
          <w:numId w:val="1"/>
        </w:numPr>
        <w:rPr>
          <w:sz w:val="26"/>
          <w:szCs w:val="26"/>
        </w:rPr>
      </w:pPr>
      <w:r w:rsidRPr="00846493">
        <w:rPr>
          <w:sz w:val="26"/>
          <w:szCs w:val="26"/>
        </w:rPr>
        <w:t>Identify who is impacted by an issue or opportunity.</w:t>
      </w:r>
    </w:p>
    <w:p w14:paraId="7E397D36" w14:textId="77777777" w:rsidR="00517A86" w:rsidRPr="00846493" w:rsidRDefault="00517A86" w:rsidP="00517A86">
      <w:pPr>
        <w:numPr>
          <w:ilvl w:val="0"/>
          <w:numId w:val="1"/>
        </w:numPr>
        <w:rPr>
          <w:sz w:val="26"/>
          <w:szCs w:val="26"/>
        </w:rPr>
      </w:pPr>
      <w:r w:rsidRPr="00846493">
        <w:rPr>
          <w:sz w:val="26"/>
          <w:szCs w:val="26"/>
        </w:rPr>
        <w:t>Clarify the roles and responsibilities of representative communities.</w:t>
      </w:r>
    </w:p>
    <w:p w14:paraId="7E8576ED" w14:textId="77777777" w:rsidR="00517A86" w:rsidRDefault="00517A86" w:rsidP="00517A86">
      <w:pPr>
        <w:numPr>
          <w:ilvl w:val="0"/>
          <w:numId w:val="1"/>
        </w:numPr>
        <w:rPr>
          <w:sz w:val="26"/>
          <w:szCs w:val="26"/>
        </w:rPr>
      </w:pPr>
      <w:r w:rsidRPr="00846493">
        <w:rPr>
          <w:sz w:val="26"/>
          <w:szCs w:val="26"/>
        </w:rPr>
        <w:t>Explore what a successful outcome – Te Ngako – looks like.</w:t>
      </w:r>
    </w:p>
    <w:p w14:paraId="18DEAE39" w14:textId="77777777" w:rsidR="00517A86" w:rsidRPr="00846493" w:rsidRDefault="00517A86" w:rsidP="00517A86">
      <w:pPr>
        <w:rPr>
          <w:sz w:val="26"/>
          <w:szCs w:val="26"/>
        </w:rPr>
      </w:pPr>
      <w:r w:rsidRPr="00846493">
        <w:rPr>
          <w:sz w:val="26"/>
          <w:szCs w:val="26"/>
        </w:rPr>
        <w:t>It helps you move from assumptions to clarity, from generic engagement to meaningful relationships, and from one-size-fits-all solutions to approaches that reflect the diversity of Māori.</w:t>
      </w:r>
    </w:p>
    <w:p w14:paraId="57F2E4C1" w14:textId="77777777" w:rsidR="00517A86" w:rsidRPr="00846493" w:rsidRDefault="00517A86" w:rsidP="00517A86">
      <w:pPr>
        <w:rPr>
          <w:sz w:val="26"/>
          <w:szCs w:val="26"/>
        </w:rPr>
      </w:pPr>
      <w:r w:rsidRPr="00846493">
        <w:rPr>
          <w:sz w:val="26"/>
          <w:szCs w:val="26"/>
        </w:rPr>
        <w:t>Te Tautuhi ō Rongo is more than a framework – it’s a way of working. It helps us give effect to Te Tiriti o Waitangi, improve public service performance, and deliver better outcomes for all New Zealanders.</w:t>
      </w:r>
    </w:p>
    <w:p w14:paraId="2986D04D" w14:textId="77777777" w:rsidR="00517A86" w:rsidRDefault="00517A86"/>
    <w:sectPr w:rsidR="00517A86" w:rsidSect="00517A86">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EFE3" w14:textId="77777777" w:rsidR="00517A86" w:rsidRDefault="00517A86" w:rsidP="00517A86">
      <w:pPr>
        <w:spacing w:after="0" w:line="240" w:lineRule="auto"/>
      </w:pPr>
      <w:r>
        <w:separator/>
      </w:r>
    </w:p>
  </w:endnote>
  <w:endnote w:type="continuationSeparator" w:id="0">
    <w:p w14:paraId="731B9E2B" w14:textId="77777777" w:rsidR="00517A86" w:rsidRDefault="00517A86" w:rsidP="0051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507927"/>
      <w:docPartObj>
        <w:docPartGallery w:val="Page Numbers (Bottom of Page)"/>
        <w:docPartUnique/>
      </w:docPartObj>
    </w:sdtPr>
    <w:sdtContent>
      <w:p w14:paraId="5B3232FF" w14:textId="3B5DF5BF" w:rsidR="00517A86" w:rsidRDefault="00517A8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05C097D" w14:textId="77777777" w:rsidR="00517A86" w:rsidRDefault="00517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7A9A" w14:textId="77777777" w:rsidR="00517A86" w:rsidRDefault="00517A86" w:rsidP="00517A86">
      <w:pPr>
        <w:spacing w:after="0" w:line="240" w:lineRule="auto"/>
      </w:pPr>
      <w:r>
        <w:separator/>
      </w:r>
    </w:p>
  </w:footnote>
  <w:footnote w:type="continuationSeparator" w:id="0">
    <w:p w14:paraId="41A0585A" w14:textId="77777777" w:rsidR="00517A86" w:rsidRDefault="00517A86" w:rsidP="00517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4E8B"/>
    <w:multiLevelType w:val="hybridMultilevel"/>
    <w:tmpl w:val="BD04CA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9F850EA"/>
    <w:multiLevelType w:val="hybridMultilevel"/>
    <w:tmpl w:val="AAFAD5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E233CB8"/>
    <w:multiLevelType w:val="multilevel"/>
    <w:tmpl w:val="37F6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596DBC"/>
    <w:multiLevelType w:val="hybridMultilevel"/>
    <w:tmpl w:val="440CCE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63810745">
    <w:abstractNumId w:val="2"/>
  </w:num>
  <w:num w:numId="2" w16cid:durableId="1528182018">
    <w:abstractNumId w:val="3"/>
  </w:num>
  <w:num w:numId="3" w16cid:durableId="1622421116">
    <w:abstractNumId w:val="0"/>
  </w:num>
  <w:num w:numId="4" w16cid:durableId="641351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86"/>
    <w:rsid w:val="00517A86"/>
    <w:rsid w:val="00C35D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8513"/>
  <w15:chartTrackingRefBased/>
  <w15:docId w15:val="{0A29DF48-4927-4A16-8DA2-00A8529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86"/>
    <w:pPr>
      <w:spacing w:line="259" w:lineRule="auto"/>
    </w:pPr>
    <w:rPr>
      <w:sz w:val="22"/>
      <w:szCs w:val="22"/>
    </w:rPr>
  </w:style>
  <w:style w:type="paragraph" w:styleId="Heading1">
    <w:name w:val="heading 1"/>
    <w:basedOn w:val="Normal"/>
    <w:next w:val="Normal"/>
    <w:link w:val="Heading1Char"/>
    <w:uiPriority w:val="9"/>
    <w:qFormat/>
    <w:rsid w:val="00517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A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A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A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A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A86"/>
    <w:rPr>
      <w:rFonts w:eastAsiaTheme="majorEastAsia" w:cstheme="majorBidi"/>
      <w:color w:val="272727" w:themeColor="text1" w:themeTint="D8"/>
    </w:rPr>
  </w:style>
  <w:style w:type="paragraph" w:styleId="Title">
    <w:name w:val="Title"/>
    <w:basedOn w:val="Normal"/>
    <w:next w:val="Normal"/>
    <w:link w:val="TitleChar"/>
    <w:uiPriority w:val="10"/>
    <w:qFormat/>
    <w:rsid w:val="00517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A86"/>
    <w:pPr>
      <w:spacing w:before="160"/>
      <w:jc w:val="center"/>
    </w:pPr>
    <w:rPr>
      <w:i/>
      <w:iCs/>
      <w:color w:val="404040" w:themeColor="text1" w:themeTint="BF"/>
    </w:rPr>
  </w:style>
  <w:style w:type="character" w:customStyle="1" w:styleId="QuoteChar">
    <w:name w:val="Quote Char"/>
    <w:basedOn w:val="DefaultParagraphFont"/>
    <w:link w:val="Quote"/>
    <w:uiPriority w:val="29"/>
    <w:rsid w:val="00517A86"/>
    <w:rPr>
      <w:i/>
      <w:iCs/>
      <w:color w:val="404040" w:themeColor="text1" w:themeTint="BF"/>
    </w:rPr>
  </w:style>
  <w:style w:type="paragraph" w:styleId="ListParagraph">
    <w:name w:val="List Paragraph"/>
    <w:basedOn w:val="Normal"/>
    <w:uiPriority w:val="34"/>
    <w:qFormat/>
    <w:rsid w:val="00517A86"/>
    <w:pPr>
      <w:ind w:left="720"/>
      <w:contextualSpacing/>
    </w:pPr>
  </w:style>
  <w:style w:type="character" w:styleId="IntenseEmphasis">
    <w:name w:val="Intense Emphasis"/>
    <w:basedOn w:val="DefaultParagraphFont"/>
    <w:uiPriority w:val="21"/>
    <w:qFormat/>
    <w:rsid w:val="00517A86"/>
    <w:rPr>
      <w:i/>
      <w:iCs/>
      <w:color w:val="0F4761" w:themeColor="accent1" w:themeShade="BF"/>
    </w:rPr>
  </w:style>
  <w:style w:type="paragraph" w:styleId="IntenseQuote">
    <w:name w:val="Intense Quote"/>
    <w:basedOn w:val="Normal"/>
    <w:next w:val="Normal"/>
    <w:link w:val="IntenseQuoteChar"/>
    <w:uiPriority w:val="30"/>
    <w:qFormat/>
    <w:rsid w:val="00517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A86"/>
    <w:rPr>
      <w:i/>
      <w:iCs/>
      <w:color w:val="0F4761" w:themeColor="accent1" w:themeShade="BF"/>
    </w:rPr>
  </w:style>
  <w:style w:type="character" w:styleId="IntenseReference">
    <w:name w:val="Intense Reference"/>
    <w:basedOn w:val="DefaultParagraphFont"/>
    <w:uiPriority w:val="32"/>
    <w:qFormat/>
    <w:rsid w:val="00517A86"/>
    <w:rPr>
      <w:b/>
      <w:bCs/>
      <w:smallCaps/>
      <w:color w:val="0F4761" w:themeColor="accent1" w:themeShade="BF"/>
      <w:spacing w:val="5"/>
    </w:rPr>
  </w:style>
  <w:style w:type="paragraph" w:styleId="Header">
    <w:name w:val="header"/>
    <w:basedOn w:val="Normal"/>
    <w:link w:val="HeaderChar"/>
    <w:uiPriority w:val="99"/>
    <w:unhideWhenUsed/>
    <w:rsid w:val="00517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A86"/>
    <w:rPr>
      <w:sz w:val="22"/>
      <w:szCs w:val="22"/>
    </w:rPr>
  </w:style>
  <w:style w:type="paragraph" w:styleId="Footer">
    <w:name w:val="footer"/>
    <w:basedOn w:val="Normal"/>
    <w:link w:val="FooterChar"/>
    <w:uiPriority w:val="99"/>
    <w:unhideWhenUsed/>
    <w:rsid w:val="00517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A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TKMLDC-1899142907-306754</_dlc_DocId>
    <_dlc_DocIdUrl xmlns="26365202-4b37-46f6-8f4a-657aef1497de">
      <Url>https://sscnz.sharepoint.com/sites/LDC/_layouts/15/DocIdRedir.aspx?ID=TKMLDC-1899142907-306754</Url>
      <Description>TKMLDC-1899142907-306754</Description>
    </_dlc_DocIdUrl>
  </documentManagement>
</p:properties>
</file>

<file path=customXml/itemProps1.xml><?xml version="1.0" encoding="utf-8"?>
<ds:datastoreItem xmlns:ds="http://schemas.openxmlformats.org/officeDocument/2006/customXml" ds:itemID="{4E8E0FD3-6E0F-47DB-A6D7-7072A283F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6F254-B391-4D0C-A14D-AFD59434A1D3}">
  <ds:schemaRefs>
    <ds:schemaRef ds:uri="http://schemas.microsoft.com/sharepoint/events"/>
  </ds:schemaRefs>
</ds:datastoreItem>
</file>

<file path=customXml/itemProps3.xml><?xml version="1.0" encoding="utf-8"?>
<ds:datastoreItem xmlns:ds="http://schemas.openxmlformats.org/officeDocument/2006/customXml" ds:itemID="{DAFD3B77-A100-432F-A84A-C3A423243D4A}">
  <ds:schemaRefs>
    <ds:schemaRef ds:uri="http://schemas.microsoft.com/sharepoint/v3/contenttype/forms"/>
  </ds:schemaRefs>
</ds:datastoreItem>
</file>

<file path=customXml/itemProps4.xml><?xml version="1.0" encoding="utf-8"?>
<ds:datastoreItem xmlns:ds="http://schemas.openxmlformats.org/officeDocument/2006/customXml" ds:itemID="{8B624022-2EA3-44AD-9EFB-7D5285A2B52A}">
  <ds:schemaRefs>
    <ds:schemaRef ds:uri="9dc116e7-e094-410d-8ce2-2c15de1f6263"/>
    <ds:schemaRef ds:uri="http://purl.org/dc/dcmitype/"/>
    <ds:schemaRef ds:uri="http://schemas.microsoft.com/office/2006/documentManagement/types"/>
    <ds:schemaRef ds:uri="http://schemas.microsoft.com/office/infopath/2007/PartnerControls"/>
    <ds:schemaRef ds:uri="26365202-4b37-46f6-8f4a-657aef1497de"/>
    <ds:schemaRef ds:uri="http://schemas.openxmlformats.org/package/2006/metadata/core-properties"/>
    <ds:schemaRef ds:uri="http://purl.org/dc/elements/1.1/"/>
    <ds:schemaRef ds:uri="http://schemas.microsoft.com/office/2006/metadata/properties"/>
    <ds:schemaRef ds:uri="dc21d9c2-aeed-4cae-8cc0-b4ca12d214c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2417</Characters>
  <Application>Microsoft Office Word</Application>
  <DocSecurity>0</DocSecurity>
  <Lines>54</Lines>
  <Paragraphs>34</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Wakelin</dc:creator>
  <cp:keywords/>
  <dc:description/>
  <cp:lastModifiedBy>Kate Wakelin</cp:lastModifiedBy>
  <cp:revision>1</cp:revision>
  <dcterms:created xsi:type="dcterms:W3CDTF">2026-04-07T20:39:00Z</dcterms:created>
  <dcterms:modified xsi:type="dcterms:W3CDTF">2026-04-07T20:44:00Z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fb1608a3-fd31-4f09-9510-75ff8adb153c</vt:lpwstr>
  </property>
  <property fmtid="{D5CDD505-2E9C-101B-9397-08002B2CF9AE}" pid="4" name="MediaServiceImageTags">
    <vt:lpwstr/>
  </property>
</Properties>
</file>