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F568" w14:textId="77777777" w:rsidR="003156F8" w:rsidRDefault="003156F8" w:rsidP="003156F8">
      <w:pPr>
        <w:pStyle w:val="Heading1"/>
      </w:pPr>
      <w:r>
        <w:t>Tomorrow’s Impact</w:t>
      </w:r>
    </w:p>
    <w:p w14:paraId="58F27C02" w14:textId="77777777" w:rsidR="003156F8" w:rsidRDefault="003156F8" w:rsidP="003156F8">
      <w:pPr>
        <w:pStyle w:val="Heading2"/>
      </w:pPr>
      <w:r>
        <w:t>Why it matters</w:t>
      </w:r>
    </w:p>
    <w:p w14:paraId="698C41C6" w14:textId="77777777" w:rsidR="003156F8" w:rsidRDefault="003156F8" w:rsidP="003156F8">
      <w:r>
        <w:t>While today’s benefits matter, leaders also want to see the longer-term potential.</w:t>
      </w:r>
    </w:p>
    <w:p w14:paraId="44C43C18" w14:textId="77777777" w:rsidR="003156F8" w:rsidRDefault="003156F8" w:rsidP="003156F8">
      <w:r>
        <w:t>A strong use case shows that the AI system is not just a one-off fix, it’s an investment in building a smarter, faster, more resilient and connected public service. Leaders want to understand how a solution could scale, evolve, and deliver lasting value, across an agency, across government, and for Aotearoa New Zealand as a whole</w:t>
      </w:r>
    </w:p>
    <w:p w14:paraId="37424587" w14:textId="77777777" w:rsidR="003156F8" w:rsidRDefault="003156F8" w:rsidP="003156F8">
      <w:r>
        <w:t xml:space="preserve">AI in the public service is about more than technology, we also consider: </w:t>
      </w:r>
    </w:p>
    <w:p w14:paraId="3924258B" w14:textId="77777777" w:rsidR="003156F8" w:rsidRDefault="003156F8" w:rsidP="003156F8">
      <w:pPr>
        <w:pStyle w:val="ListParagraph"/>
        <w:numPr>
          <w:ilvl w:val="0"/>
          <w:numId w:val="10"/>
        </w:numPr>
      </w:pPr>
      <w:r>
        <w:t>Strengthening services for the long term</w:t>
      </w:r>
    </w:p>
    <w:p w14:paraId="3EC2C21A" w14:textId="77777777" w:rsidR="003156F8" w:rsidRDefault="003156F8" w:rsidP="003156F8">
      <w:pPr>
        <w:pStyle w:val="ListParagraph"/>
        <w:numPr>
          <w:ilvl w:val="0"/>
          <w:numId w:val="10"/>
        </w:numPr>
      </w:pPr>
      <w:r>
        <w:t>Supporting a more productive, innovative public service</w:t>
      </w:r>
    </w:p>
    <w:p w14:paraId="4A8846B8" w14:textId="77777777" w:rsidR="003156F8" w:rsidRDefault="003156F8" w:rsidP="003156F8">
      <w:pPr>
        <w:pStyle w:val="ListParagraph"/>
        <w:numPr>
          <w:ilvl w:val="0"/>
          <w:numId w:val="10"/>
        </w:numPr>
      </w:pPr>
      <w:r>
        <w:t>How AI can be leveraged to grow the economy</w:t>
      </w:r>
    </w:p>
    <w:p w14:paraId="01152782" w14:textId="77777777" w:rsidR="003156F8" w:rsidRDefault="003156F8" w:rsidP="003156F8">
      <w:pPr>
        <w:pStyle w:val="ListParagraph"/>
        <w:numPr>
          <w:ilvl w:val="0"/>
          <w:numId w:val="10"/>
        </w:numPr>
      </w:pPr>
      <w:r>
        <w:t>Building systems that can adapt and grow responsibly</w:t>
      </w:r>
    </w:p>
    <w:p w14:paraId="4CF931B1" w14:textId="203A8BE2" w:rsidR="003156F8" w:rsidRDefault="003156F8" w:rsidP="003156F8">
      <w:pPr>
        <w:pStyle w:val="ListParagraph"/>
        <w:numPr>
          <w:ilvl w:val="0"/>
          <w:numId w:val="10"/>
        </w:numPr>
      </w:pPr>
      <w:r>
        <w:t>Protecting public trust through careful, future-focused governance.</w:t>
      </w:r>
    </w:p>
    <w:p w14:paraId="0EF42294" w14:textId="77777777" w:rsidR="003156F8" w:rsidRDefault="003156F8" w:rsidP="003156F8">
      <w:r>
        <w:t>Thinking carefully about tomorrow’s impact ensures that innovation leads to real, sustained public value, not short-term fixes or unintended harms.</w:t>
      </w:r>
    </w:p>
    <w:p w14:paraId="46DF41FC" w14:textId="77777777" w:rsidR="003156F8" w:rsidRDefault="003156F8" w:rsidP="003156F8">
      <w:pPr>
        <w:pStyle w:val="Heading2"/>
      </w:pPr>
      <w:r>
        <w:t>How to describe tomorrow’s impact</w:t>
      </w:r>
    </w:p>
    <w:p w14:paraId="7DF33F8D" w14:textId="77777777" w:rsidR="003156F8" w:rsidRDefault="003156F8" w:rsidP="003156F8">
      <w:r>
        <w:t xml:space="preserve">When preparing the Tomorrow’s Impact section, your team may consider the following: </w:t>
      </w:r>
    </w:p>
    <w:p w14:paraId="5D8D2214" w14:textId="77777777" w:rsidR="003156F8" w:rsidRDefault="003156F8" w:rsidP="003156F8">
      <w:pPr>
        <w:pStyle w:val="ListParagraph"/>
        <w:numPr>
          <w:ilvl w:val="0"/>
          <w:numId w:val="11"/>
        </w:numPr>
      </w:pPr>
      <w:r>
        <w:t>Describe how the AI system could scale beyond the pilot: Could it be reused by other parts of your agency? Could it be adopted across other agencies or service lines?</w:t>
      </w:r>
    </w:p>
    <w:p w14:paraId="2EE93110" w14:textId="77777777" w:rsidR="003156F8" w:rsidRDefault="003156F8" w:rsidP="003156F8">
      <w:pPr>
        <w:pStyle w:val="ListParagraph"/>
        <w:numPr>
          <w:ilvl w:val="0"/>
          <w:numId w:val="11"/>
        </w:numPr>
      </w:pPr>
      <w:r>
        <w:t>Think about long-term relevance: How will the AI system stay accurate, fair, and useful as data, services, and society change? How will model updates, retraining, and system improvements be managed?</w:t>
      </w:r>
    </w:p>
    <w:p w14:paraId="5BCFA4E5" w14:textId="77777777" w:rsidR="003156F8" w:rsidRDefault="003156F8" w:rsidP="003156F8">
      <w:pPr>
        <w:pStyle w:val="ListParagraph"/>
        <w:numPr>
          <w:ilvl w:val="0"/>
          <w:numId w:val="11"/>
        </w:numPr>
      </w:pPr>
      <w:r>
        <w:t>Envision bigger public value creation: How could wider adoption drive better service equity, support innovation, or strengthen public trust?</w:t>
      </w:r>
    </w:p>
    <w:p w14:paraId="15EEB723" w14:textId="77777777" w:rsidR="003156F8" w:rsidRDefault="003156F8" w:rsidP="003156F8">
      <w:pPr>
        <w:pStyle w:val="ListParagraph"/>
        <w:numPr>
          <w:ilvl w:val="0"/>
          <w:numId w:val="11"/>
        </w:numPr>
      </w:pPr>
      <w:r>
        <w:t>Plan for governance and ownership at scale: As more agencies or services use the system, who will maintain it? Who will ensure it remains ethical, effective, and transparent over time?</w:t>
      </w:r>
    </w:p>
    <w:p w14:paraId="5DD67971" w14:textId="01F47045" w:rsidR="003156F8" w:rsidRDefault="003156F8" w:rsidP="003156F8">
      <w:pPr>
        <w:pStyle w:val="ListParagraph"/>
        <w:numPr>
          <w:ilvl w:val="0"/>
          <w:numId w:val="11"/>
        </w:numPr>
      </w:pPr>
      <w:r>
        <w:t>Consider sustainability and adaptability: Is the AI system flexible enough to grow or adapt to new challenges, new data, or new needs? How will funding and stewardship be sustained?</w:t>
      </w:r>
    </w:p>
    <w:p w14:paraId="07FDDDE3" w14:textId="77777777" w:rsidR="003156F8" w:rsidRDefault="003156F8" w:rsidP="003156F8"/>
    <w:p w14:paraId="31360E47" w14:textId="77777777" w:rsidR="003156F8" w:rsidRDefault="003156F8" w:rsidP="003156F8">
      <w:pPr>
        <w:pStyle w:val="Heading2"/>
      </w:pPr>
      <w:r>
        <w:lastRenderedPageBreak/>
        <w:t>Example of Strong Tomorrow’s Impact Description</w:t>
      </w:r>
    </w:p>
    <w:p w14:paraId="7F7AAEA9" w14:textId="77777777" w:rsidR="003156F8" w:rsidRDefault="003156F8" w:rsidP="003156F8">
      <w:pPr>
        <w:pStyle w:val="ListParagraph"/>
        <w:numPr>
          <w:ilvl w:val="0"/>
          <w:numId w:val="12"/>
        </w:numPr>
      </w:pPr>
      <w:r>
        <w:t>Scaling Potential:</w:t>
      </w:r>
    </w:p>
    <w:p w14:paraId="6D340D0C" w14:textId="10CBD4FC" w:rsidR="003156F8" w:rsidRDefault="003156F8" w:rsidP="003156F8">
      <w:pPr>
        <w:pStyle w:val="ListParagraph"/>
        <w:numPr>
          <w:ilvl w:val="1"/>
          <w:numId w:val="12"/>
        </w:numPr>
      </w:pPr>
      <w:r>
        <w:t>AI-assisted document summarisation piloted at Agency A could be adapted for Agency B</w:t>
      </w:r>
      <w:r>
        <w:t xml:space="preserve">. </w:t>
      </w:r>
      <w:r>
        <w:t>(for hypothetical situation).</w:t>
      </w:r>
    </w:p>
    <w:p w14:paraId="5AAA4C67" w14:textId="0E1F98C2" w:rsidR="003156F8" w:rsidRDefault="003156F8" w:rsidP="003156F8">
      <w:pPr>
        <w:pStyle w:val="ListParagraph"/>
        <w:numPr>
          <w:ilvl w:val="1"/>
          <w:numId w:val="12"/>
        </w:numPr>
      </w:pPr>
      <w:r>
        <w:t>Shared services platform proposed to enable use by multiple agencies, reducing duplication and costs.</w:t>
      </w:r>
    </w:p>
    <w:p w14:paraId="39422C85" w14:textId="77777777" w:rsidR="003156F8" w:rsidRDefault="003156F8" w:rsidP="003156F8">
      <w:pPr>
        <w:pStyle w:val="ListParagraph"/>
        <w:numPr>
          <w:ilvl w:val="0"/>
          <w:numId w:val="12"/>
        </w:numPr>
      </w:pPr>
      <w:r>
        <w:t>Long-Term Relevance:</w:t>
      </w:r>
    </w:p>
    <w:p w14:paraId="3E0C76EA" w14:textId="77777777" w:rsidR="003156F8" w:rsidRDefault="003156F8" w:rsidP="003156F8">
      <w:pPr>
        <w:pStyle w:val="ListParagraph"/>
        <w:numPr>
          <w:ilvl w:val="1"/>
          <w:numId w:val="12"/>
        </w:numPr>
      </w:pPr>
      <w:r>
        <w:t>Model retraining planned annually to reflect policy changes and evolving community needs.</w:t>
      </w:r>
    </w:p>
    <w:p w14:paraId="2536F19A" w14:textId="5785AB60" w:rsidR="003156F8" w:rsidRDefault="003156F8" w:rsidP="003156F8">
      <w:pPr>
        <w:pStyle w:val="ListParagraph"/>
        <w:numPr>
          <w:ilvl w:val="1"/>
          <w:numId w:val="12"/>
        </w:numPr>
      </w:pPr>
      <w:r>
        <w:t>Regular fairness audits and independent ethical reviews scheduled.</w:t>
      </w:r>
    </w:p>
    <w:p w14:paraId="2D202096" w14:textId="77777777" w:rsidR="003156F8" w:rsidRDefault="003156F8" w:rsidP="003156F8">
      <w:pPr>
        <w:pStyle w:val="ListParagraph"/>
        <w:numPr>
          <w:ilvl w:val="0"/>
          <w:numId w:val="13"/>
        </w:numPr>
      </w:pPr>
      <w:r>
        <w:t>Public Value Creation:</w:t>
      </w:r>
    </w:p>
    <w:p w14:paraId="089D8F92" w14:textId="77777777" w:rsidR="003156F8" w:rsidRDefault="003156F8" w:rsidP="003156F8">
      <w:pPr>
        <w:pStyle w:val="ListParagraph"/>
        <w:numPr>
          <w:ilvl w:val="1"/>
          <w:numId w:val="13"/>
        </w:numPr>
      </w:pPr>
      <w:r>
        <w:t>Improved service speed and equity across multiple agencies for Māori, Pacific peoples, and disabled communities.</w:t>
      </w:r>
    </w:p>
    <w:p w14:paraId="38038E29" w14:textId="204B6CE7" w:rsidR="003156F8" w:rsidRDefault="003156F8" w:rsidP="003156F8">
      <w:pPr>
        <w:pStyle w:val="ListParagraph"/>
        <w:numPr>
          <w:ilvl w:val="1"/>
          <w:numId w:val="13"/>
        </w:numPr>
      </w:pPr>
      <w:r>
        <w:t>Staff freed from administrative tasks focus more on complex, human-centred service delivery.</w:t>
      </w:r>
    </w:p>
    <w:p w14:paraId="3DF2E999" w14:textId="77777777" w:rsidR="003156F8" w:rsidRDefault="003156F8" w:rsidP="003156F8">
      <w:pPr>
        <w:pStyle w:val="ListParagraph"/>
        <w:numPr>
          <w:ilvl w:val="0"/>
          <w:numId w:val="13"/>
        </w:numPr>
      </w:pPr>
      <w:r>
        <w:t>Governance and Ownership:</w:t>
      </w:r>
    </w:p>
    <w:p w14:paraId="4988D028" w14:textId="77777777" w:rsidR="003156F8" w:rsidRDefault="003156F8" w:rsidP="003156F8">
      <w:pPr>
        <w:pStyle w:val="ListParagraph"/>
        <w:numPr>
          <w:ilvl w:val="1"/>
          <w:numId w:val="13"/>
        </w:numPr>
      </w:pPr>
      <w:r>
        <w:t>Central stewardship proposed under GCDO-led consortium with agency participation.</w:t>
      </w:r>
      <w:r>
        <w:t xml:space="preserve"> </w:t>
      </w:r>
      <w:r>
        <w:t>Centralised governance structure</w:t>
      </w:r>
    </w:p>
    <w:p w14:paraId="0A1EDE7F" w14:textId="77777777" w:rsidR="003156F8" w:rsidRDefault="003156F8" w:rsidP="003156F8">
      <w:pPr>
        <w:pStyle w:val="ListParagraph"/>
        <w:numPr>
          <w:ilvl w:val="1"/>
          <w:numId w:val="13"/>
        </w:numPr>
      </w:pPr>
      <w:r>
        <w:t>Clear ownership of roles and responsibilities</w:t>
      </w:r>
    </w:p>
    <w:p w14:paraId="05DE4BEC" w14:textId="77777777" w:rsidR="003156F8" w:rsidRDefault="003156F8" w:rsidP="003156F8">
      <w:pPr>
        <w:pStyle w:val="ListParagraph"/>
        <w:numPr>
          <w:ilvl w:val="1"/>
          <w:numId w:val="13"/>
        </w:numPr>
      </w:pPr>
      <w:r>
        <w:t>Ethical oversight and transparency</w:t>
      </w:r>
    </w:p>
    <w:p w14:paraId="0B30065C" w14:textId="5315C974" w:rsidR="003156F8" w:rsidRDefault="003156F8" w:rsidP="003156F8">
      <w:pPr>
        <w:pStyle w:val="ListParagraph"/>
        <w:numPr>
          <w:ilvl w:val="1"/>
          <w:numId w:val="13"/>
        </w:numPr>
      </w:pPr>
      <w:r>
        <w:t>Continuous improvement and feedback</w:t>
      </w:r>
    </w:p>
    <w:p w14:paraId="4C70B52A" w14:textId="77777777" w:rsidR="003156F8" w:rsidRDefault="003156F8" w:rsidP="003156F8">
      <w:r>
        <w:t>Funding model includes cost-sharing across adopting agencies to ensure sustainability.</w:t>
      </w:r>
    </w:p>
    <w:p w14:paraId="1AE2D983" w14:textId="77777777" w:rsidR="003156F8" w:rsidRDefault="003156F8" w:rsidP="003156F8"/>
    <w:p w14:paraId="0BBF347C" w14:textId="77777777" w:rsidR="003156F8" w:rsidRPr="003156F8" w:rsidRDefault="003156F8" w:rsidP="003156F8">
      <w:pPr>
        <w:rPr>
          <w:b/>
          <w:bCs/>
        </w:rPr>
      </w:pPr>
      <w:r w:rsidRPr="003156F8">
        <w:rPr>
          <w:b/>
          <w:bCs/>
        </w:rPr>
        <w:t>Example of Poor Tomorrow’s Impact Description</w:t>
      </w:r>
    </w:p>
    <w:p w14:paraId="59A1AA6E" w14:textId="77777777" w:rsidR="003156F8" w:rsidRDefault="003156F8" w:rsidP="003156F8">
      <w:pPr>
        <w:pStyle w:val="ListParagraph"/>
        <w:numPr>
          <w:ilvl w:val="0"/>
          <w:numId w:val="14"/>
        </w:numPr>
      </w:pPr>
      <w:r>
        <w:t>Tomorrow’s impact: If successful, the AI might just keep running and maybe be used elsewhere someday</w:t>
      </w:r>
    </w:p>
    <w:p w14:paraId="0F8602E9" w14:textId="77777777" w:rsidR="003156F8" w:rsidRDefault="003156F8" w:rsidP="003156F8">
      <w:pPr>
        <w:pStyle w:val="ListParagraph"/>
        <w:numPr>
          <w:ilvl w:val="0"/>
          <w:numId w:val="14"/>
        </w:numPr>
      </w:pPr>
      <w:r>
        <w:t xml:space="preserve">Why this is poor: </w:t>
      </w:r>
    </w:p>
    <w:p w14:paraId="43B92652" w14:textId="77777777" w:rsidR="003156F8" w:rsidRDefault="003156F8" w:rsidP="003156F8">
      <w:pPr>
        <w:pStyle w:val="ListParagraph"/>
        <w:numPr>
          <w:ilvl w:val="1"/>
          <w:numId w:val="14"/>
        </w:numPr>
      </w:pPr>
      <w:r>
        <w:t>No vision for scaling.</w:t>
      </w:r>
    </w:p>
    <w:p w14:paraId="602A65AD" w14:textId="77777777" w:rsidR="003156F8" w:rsidRDefault="003156F8" w:rsidP="003156F8">
      <w:pPr>
        <w:pStyle w:val="ListParagraph"/>
        <w:numPr>
          <w:ilvl w:val="1"/>
          <w:numId w:val="14"/>
        </w:numPr>
      </w:pPr>
      <w:r>
        <w:t>No plan for relevance, governance, or funding.</w:t>
      </w:r>
    </w:p>
    <w:p w14:paraId="584EB6BD" w14:textId="6F9FCA8D" w:rsidR="003156F8" w:rsidRDefault="003156F8" w:rsidP="003156F8">
      <w:pPr>
        <w:pStyle w:val="ListParagraph"/>
        <w:numPr>
          <w:ilvl w:val="1"/>
          <w:numId w:val="14"/>
        </w:numPr>
      </w:pPr>
      <w:r>
        <w:t>No link to public value, innovation, or trust.</w:t>
      </w:r>
    </w:p>
    <w:p w14:paraId="5EC54960" w14:textId="77777777" w:rsidR="003156F8" w:rsidRPr="003156F8" w:rsidRDefault="003156F8" w:rsidP="003156F8">
      <w:pPr>
        <w:rPr>
          <w:b/>
          <w:bCs/>
        </w:rPr>
      </w:pPr>
      <w:r w:rsidRPr="003156F8">
        <w:rPr>
          <w:b/>
          <w:bCs/>
        </w:rPr>
        <w:t>Common Traps</w:t>
      </w:r>
    </w:p>
    <w:p w14:paraId="6BB4E558" w14:textId="77777777" w:rsidR="003156F8" w:rsidRDefault="003156F8" w:rsidP="003156F8">
      <w:pPr>
        <w:pStyle w:val="ListParagraph"/>
        <w:numPr>
          <w:ilvl w:val="0"/>
          <w:numId w:val="15"/>
        </w:numPr>
      </w:pPr>
      <w:r>
        <w:t>Assuming technology scales itself: Scaling AI responsibly takes governance, investment, retraining, and engagement, not just plugging it into more services.</w:t>
      </w:r>
    </w:p>
    <w:p w14:paraId="04586D2B" w14:textId="77777777" w:rsidR="003156F8" w:rsidRDefault="003156F8" w:rsidP="003156F8">
      <w:pPr>
        <w:pStyle w:val="ListParagraph"/>
        <w:numPr>
          <w:ilvl w:val="0"/>
          <w:numId w:val="15"/>
        </w:numPr>
      </w:pPr>
      <w:r>
        <w:t>Ignoring public trust as systems grow: Scaling can magnify risks (bias, opacity, exclusion). Ongoing transparency and fairness must be designed in.</w:t>
      </w:r>
    </w:p>
    <w:p w14:paraId="0CF302AB" w14:textId="4EF81618" w:rsidR="003156F8" w:rsidRDefault="003156F8" w:rsidP="003156F8">
      <w:pPr>
        <w:pStyle w:val="ListParagraph"/>
        <w:numPr>
          <w:ilvl w:val="0"/>
          <w:numId w:val="15"/>
        </w:numPr>
      </w:pPr>
      <w:r>
        <w:lastRenderedPageBreak/>
        <w:t>Underestimating maintenance needs: AI systems need monitoring, retraining, and adaptation to stay accurate, ethical, and aligned with changing policy and public expectations.</w:t>
      </w:r>
    </w:p>
    <w:p w14:paraId="61BA01E8" w14:textId="77777777" w:rsidR="003156F8" w:rsidRDefault="003156F8" w:rsidP="003156F8">
      <w:pPr>
        <w:pStyle w:val="Heading2"/>
      </w:pPr>
      <w:r>
        <w:t>Expert Tip: Think beyond your agency.</w:t>
      </w:r>
    </w:p>
    <w:p w14:paraId="37E80C6E" w14:textId="77777777" w:rsidR="003156F8" w:rsidRDefault="003156F8" w:rsidP="003156F8">
      <w:r>
        <w:t>The strongest AI use cases show how a system can create public value across agencies, sectors, and communities, and how it will stay fair, trustworthy, and future-ready as it grows.</w:t>
      </w:r>
    </w:p>
    <w:p w14:paraId="5C31A80F" w14:textId="77777777" w:rsidR="003156F8" w:rsidRPr="003156F8" w:rsidRDefault="003156F8" w:rsidP="003156F8">
      <w:pPr>
        <w:rPr>
          <w:b/>
          <w:bCs/>
        </w:rPr>
      </w:pPr>
      <w:r w:rsidRPr="003156F8">
        <w:rPr>
          <w:b/>
          <w:bCs/>
        </w:rPr>
        <w:t>Summary Checklist</w:t>
      </w:r>
    </w:p>
    <w:p w14:paraId="1A5A367D" w14:textId="77777777" w:rsidR="003156F8" w:rsidRDefault="003156F8" w:rsidP="003156F8">
      <w:pPr>
        <w:pStyle w:val="ListParagraph"/>
        <w:numPr>
          <w:ilvl w:val="0"/>
          <w:numId w:val="16"/>
        </w:numPr>
      </w:pPr>
      <w:r>
        <w:t>Question</w:t>
      </w:r>
      <w:r>
        <w:t xml:space="preserve">: </w:t>
      </w:r>
      <w:r>
        <w:t>How could the AI system scale across agencies or services?</w:t>
      </w:r>
    </w:p>
    <w:p w14:paraId="2FA8A4C5" w14:textId="77777777" w:rsidR="003156F8" w:rsidRDefault="003156F8" w:rsidP="003156F8">
      <w:pPr>
        <w:pStyle w:val="ListParagraph"/>
      </w:pPr>
      <w:r>
        <w:t>Purpose</w:t>
      </w:r>
      <w:r>
        <w:t xml:space="preserve">: </w:t>
      </w:r>
      <w:r>
        <w:t>Demonstrates bigger public value potential</w:t>
      </w:r>
    </w:p>
    <w:p w14:paraId="2F71FACB" w14:textId="77777777" w:rsidR="003156F8" w:rsidRDefault="003156F8" w:rsidP="003156F8">
      <w:pPr>
        <w:pStyle w:val="ListParagraph"/>
        <w:numPr>
          <w:ilvl w:val="0"/>
          <w:numId w:val="16"/>
        </w:numPr>
      </w:pPr>
      <w:r>
        <w:t xml:space="preserve">Question: </w:t>
      </w:r>
      <w:r>
        <w:t>How will it remain relevant, accurate, and fair over time?</w:t>
      </w:r>
      <w:r>
        <w:t xml:space="preserve"> </w:t>
      </w:r>
    </w:p>
    <w:p w14:paraId="71442251" w14:textId="3A60D256" w:rsidR="003156F8" w:rsidRDefault="003156F8" w:rsidP="003156F8">
      <w:pPr>
        <w:pStyle w:val="ListParagraph"/>
      </w:pPr>
      <w:r>
        <w:t>Purpose</w:t>
      </w:r>
      <w:r>
        <w:t xml:space="preserve">: </w:t>
      </w:r>
      <w:r>
        <w:t>Shows sustainability and adaptability</w:t>
      </w:r>
    </w:p>
    <w:p w14:paraId="5DE573F6" w14:textId="743C8C00" w:rsidR="003156F8" w:rsidRDefault="003156F8" w:rsidP="003156F8">
      <w:pPr>
        <w:pStyle w:val="ListParagraph"/>
        <w:numPr>
          <w:ilvl w:val="0"/>
          <w:numId w:val="16"/>
        </w:numPr>
      </w:pPr>
      <w:r>
        <w:t xml:space="preserve">Question: </w:t>
      </w:r>
      <w:r>
        <w:t>How will wider adoption support innovation, equity, and trust?</w:t>
      </w:r>
      <w:r>
        <w:t xml:space="preserve"> </w:t>
      </w:r>
      <w:r>
        <w:t>Purpose</w:t>
      </w:r>
      <w:r>
        <w:t xml:space="preserve">: </w:t>
      </w:r>
      <w:r>
        <w:t>Strengthens case for broader public good</w:t>
      </w:r>
    </w:p>
    <w:p w14:paraId="7F7EB132" w14:textId="77777777" w:rsidR="003156F8" w:rsidRDefault="003156F8" w:rsidP="003156F8">
      <w:pPr>
        <w:pStyle w:val="ListParagraph"/>
        <w:numPr>
          <w:ilvl w:val="0"/>
          <w:numId w:val="16"/>
        </w:numPr>
      </w:pPr>
      <w:r>
        <w:t xml:space="preserve">Question: </w:t>
      </w:r>
      <w:r>
        <w:t>What governance and funding structures will be needed to remain relevant?</w:t>
      </w:r>
      <w:r>
        <w:t xml:space="preserve"> </w:t>
      </w:r>
    </w:p>
    <w:p w14:paraId="469E8BFE" w14:textId="42D1A39E" w:rsidR="003156F8" w:rsidRDefault="003156F8" w:rsidP="003156F8">
      <w:pPr>
        <w:pStyle w:val="ListParagraph"/>
      </w:pPr>
      <w:r>
        <w:t>Purpose</w:t>
      </w:r>
      <w:r>
        <w:t xml:space="preserve">: </w:t>
      </w:r>
      <w:r>
        <w:t>Ensures responsible scaling and stewardship</w:t>
      </w:r>
    </w:p>
    <w:p w14:paraId="5225C74B" w14:textId="77777777" w:rsidR="003156F8" w:rsidRDefault="003156F8" w:rsidP="003156F8">
      <w:pPr>
        <w:pStyle w:val="ListParagraph"/>
        <w:numPr>
          <w:ilvl w:val="0"/>
          <w:numId w:val="16"/>
        </w:numPr>
      </w:pPr>
      <w:r>
        <w:t xml:space="preserve">Question: </w:t>
      </w:r>
      <w:r>
        <w:t>How will success be measured as the system grows?</w:t>
      </w:r>
      <w:r>
        <w:t xml:space="preserve"> </w:t>
      </w:r>
    </w:p>
    <w:p w14:paraId="4B6D7121" w14:textId="42AF1783" w:rsidR="003156F8" w:rsidRDefault="003156F8" w:rsidP="003156F8">
      <w:pPr>
        <w:pStyle w:val="ListParagraph"/>
      </w:pPr>
      <w:r>
        <w:t>Purpose</w:t>
      </w:r>
      <w:r>
        <w:t xml:space="preserve">: </w:t>
      </w:r>
      <w:r>
        <w:t>Keeps focus on real outcomes and public trust</w:t>
      </w:r>
    </w:p>
    <w:p w14:paraId="6116D9A2" w14:textId="77777777" w:rsidR="003156F8" w:rsidRPr="003156F8" w:rsidRDefault="003156F8" w:rsidP="003156F8"/>
    <w:sectPr w:rsidR="003156F8" w:rsidRPr="00315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57B"/>
    <w:multiLevelType w:val="hybridMultilevel"/>
    <w:tmpl w:val="C90A3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6E2B"/>
    <w:multiLevelType w:val="hybridMultilevel"/>
    <w:tmpl w:val="6AC470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69E"/>
    <w:multiLevelType w:val="hybridMultilevel"/>
    <w:tmpl w:val="A6F47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5222"/>
    <w:multiLevelType w:val="hybridMultilevel"/>
    <w:tmpl w:val="65420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598"/>
    <w:multiLevelType w:val="hybridMultilevel"/>
    <w:tmpl w:val="35FC5D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0AD"/>
    <w:multiLevelType w:val="hybridMultilevel"/>
    <w:tmpl w:val="481E2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75D"/>
    <w:multiLevelType w:val="hybridMultilevel"/>
    <w:tmpl w:val="8D0C6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1F52"/>
    <w:multiLevelType w:val="hybridMultilevel"/>
    <w:tmpl w:val="19261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5405"/>
    <w:multiLevelType w:val="hybridMultilevel"/>
    <w:tmpl w:val="06A8A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B12F0"/>
    <w:multiLevelType w:val="hybridMultilevel"/>
    <w:tmpl w:val="155A82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43FFF"/>
    <w:multiLevelType w:val="hybridMultilevel"/>
    <w:tmpl w:val="E3A4C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34499"/>
    <w:multiLevelType w:val="hybridMultilevel"/>
    <w:tmpl w:val="BDEEF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044F6"/>
    <w:multiLevelType w:val="hybridMultilevel"/>
    <w:tmpl w:val="79A63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E393B"/>
    <w:multiLevelType w:val="hybridMultilevel"/>
    <w:tmpl w:val="8536E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25980"/>
    <w:multiLevelType w:val="hybridMultilevel"/>
    <w:tmpl w:val="747A04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459CC"/>
    <w:multiLevelType w:val="hybridMultilevel"/>
    <w:tmpl w:val="0F98B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29456">
    <w:abstractNumId w:val="6"/>
  </w:num>
  <w:num w:numId="2" w16cid:durableId="258761727">
    <w:abstractNumId w:val="15"/>
  </w:num>
  <w:num w:numId="3" w16cid:durableId="578253156">
    <w:abstractNumId w:val="12"/>
  </w:num>
  <w:num w:numId="4" w16cid:durableId="616570573">
    <w:abstractNumId w:val="10"/>
  </w:num>
  <w:num w:numId="5" w16cid:durableId="2068262104">
    <w:abstractNumId w:val="7"/>
  </w:num>
  <w:num w:numId="6" w16cid:durableId="1681270911">
    <w:abstractNumId w:val="9"/>
  </w:num>
  <w:num w:numId="7" w16cid:durableId="201788703">
    <w:abstractNumId w:val="0"/>
  </w:num>
  <w:num w:numId="8" w16cid:durableId="1700427273">
    <w:abstractNumId w:val="3"/>
  </w:num>
  <w:num w:numId="9" w16cid:durableId="1294865185">
    <w:abstractNumId w:val="4"/>
  </w:num>
  <w:num w:numId="10" w16cid:durableId="931473662">
    <w:abstractNumId w:val="11"/>
  </w:num>
  <w:num w:numId="11" w16cid:durableId="59863344">
    <w:abstractNumId w:val="2"/>
  </w:num>
  <w:num w:numId="12" w16cid:durableId="1351953397">
    <w:abstractNumId w:val="5"/>
  </w:num>
  <w:num w:numId="13" w16cid:durableId="2030643506">
    <w:abstractNumId w:val="8"/>
  </w:num>
  <w:num w:numId="14" w16cid:durableId="1444305521">
    <w:abstractNumId w:val="14"/>
  </w:num>
  <w:num w:numId="15" w16cid:durableId="1733456735">
    <w:abstractNumId w:val="13"/>
  </w:num>
  <w:num w:numId="16" w16cid:durableId="83014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F8"/>
    <w:rsid w:val="003156F8"/>
    <w:rsid w:val="00A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B347"/>
  <w15:chartTrackingRefBased/>
  <w15:docId w15:val="{DA48690D-9D8F-4916-BB4B-2C5E1A61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F8"/>
  </w:style>
  <w:style w:type="paragraph" w:styleId="Heading1">
    <w:name w:val="heading 1"/>
    <w:basedOn w:val="Normal"/>
    <w:next w:val="Normal"/>
    <w:link w:val="Heading1Char"/>
    <w:uiPriority w:val="9"/>
    <w:qFormat/>
    <w:rsid w:val="00315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4" ma:contentTypeDescription="Create a new document." ma:contentTypeScope="" ma:versionID="843cf0e87793d71f73facd568ce68ff8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9d6b24ba526022b7359f1b71e9209511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65202-4b37-46f6-8f4a-657aef1497de" xsi:nil="true"/>
    <_Flow_SignoffStatus xmlns="9dc116e7-e094-410d-8ce2-2c15de1f6263" xsi:nil="true"/>
    <lcf76f155ced4ddcb4097134ff3c332f xmlns="9dc116e7-e094-410d-8ce2-2c15de1f6263">
      <Terms xmlns="http://schemas.microsoft.com/office/infopath/2007/PartnerControls"/>
    </lcf76f155ced4ddcb4097134ff3c332f>
    <_dlc_DocId xmlns="26365202-4b37-46f6-8f4a-657aef1497de">TKMLDC-1899142907-296783</_dlc_DocId>
    <_dlc_DocIdUrl xmlns="26365202-4b37-46f6-8f4a-657aef1497de">
      <Url>https://sscnz.sharepoint.com/sites/LDC/_layouts/15/DocIdRedir.aspx?ID=TKMLDC-1899142907-296783</Url>
      <Description>TKMLDC-1899142907-296783</Description>
    </_dlc_DocIdUrl>
  </documentManagement>
</p:properties>
</file>

<file path=customXml/itemProps1.xml><?xml version="1.0" encoding="utf-8"?>
<ds:datastoreItem xmlns:ds="http://schemas.openxmlformats.org/officeDocument/2006/customXml" ds:itemID="{DD61F27D-53A5-497B-869E-85D4E86FD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A2BC4-AADC-4A6D-B141-D6B3E05760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09162E-ABF3-4D8F-B9B2-07930B49C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2EBA2-B2D2-436F-8832-DFA3C8A74ECA}">
  <ds:schemaRefs>
    <ds:schemaRef ds:uri="http://schemas.openxmlformats.org/package/2006/metadata/core-properties"/>
    <ds:schemaRef ds:uri="26365202-4b37-46f6-8f4a-657aef1497de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9dc116e7-e094-410d-8ce2-2c15de1f6263"/>
    <ds:schemaRef ds:uri="dc21d9c2-aeed-4cae-8cc0-b4ca12d214c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Kate Wakelin</cp:lastModifiedBy>
  <cp:revision>1</cp:revision>
  <dcterms:created xsi:type="dcterms:W3CDTF">2025-05-22T22:47:00Z</dcterms:created>
  <dcterms:modified xsi:type="dcterms:W3CDTF">2025-05-22T22:57:00Z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66e5dde2-db98-4a2f-a2b4-6dd00deca98e</vt:lpwstr>
  </property>
</Properties>
</file>