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B924" w14:textId="15224EC6" w:rsidR="005A10BD" w:rsidRDefault="005A10BD" w:rsidP="005A10BD">
      <w:pPr>
        <w:pStyle w:val="Heading1"/>
        <w:rPr>
          <w:b/>
          <w:bCs/>
          <w:color w:val="6D2165"/>
        </w:rPr>
      </w:pPr>
      <w:r w:rsidRPr="005A10BD">
        <w:rPr>
          <w:b/>
          <w:bCs/>
          <w:color w:val="6D2165"/>
        </w:rPr>
        <w:t>What is Te Tautuhi ō Rongo and why is it important?</w:t>
      </w:r>
    </w:p>
    <w:p w14:paraId="45EC610C" w14:textId="532001A2" w:rsidR="005A10BD" w:rsidRDefault="005A10BD" w:rsidP="005A10BD">
      <w:pPr>
        <w:rPr>
          <w:i/>
          <w:iCs/>
        </w:rPr>
      </w:pPr>
      <w:r w:rsidRPr="005A10BD">
        <w:rPr>
          <w:i/>
          <w:iCs/>
        </w:rPr>
        <w:t>"Te Tautuhi ō Rongo means to listen, consider, and analyse deliberatively</w:t>
      </w:r>
      <w:r w:rsidRPr="005A10BD">
        <w:rPr>
          <w:b/>
          <w:bCs/>
          <w:i/>
          <w:iCs/>
        </w:rPr>
        <w:t xml:space="preserve"> </w:t>
      </w:r>
      <w:r w:rsidRPr="005A10BD">
        <w:rPr>
          <w:i/>
          <w:iCs/>
        </w:rPr>
        <w:t>before speaking, writing, and advising."</w:t>
      </w:r>
    </w:p>
    <w:p w14:paraId="0803F72E" w14:textId="59E139A1" w:rsidR="005A10BD" w:rsidRDefault="005A10BD" w:rsidP="005A10BD">
      <w:pPr>
        <w:rPr>
          <w:i/>
          <w:iCs/>
        </w:rPr>
      </w:pPr>
      <w:r>
        <w:rPr>
          <w:i/>
          <w:iCs/>
          <w:noProof/>
        </w:rPr>
        <w:drawing>
          <wp:inline distT="0" distB="0" distL="0" distR="0" wp14:anchorId="306CAAAF" wp14:editId="57695DE5">
            <wp:extent cx="5731510" cy="3648710"/>
            <wp:effectExtent l="0" t="0" r="0" b="0"/>
            <wp:docPr id="1362808549" name="Picture 1" descr="Diagram illustrating a framework centered on &quot;Te Ngako,&quot; highlighting four key areas: Quality Participation, Roles and Representation, Quality Governance, and Taura Here. The diagram uses a purple color scheme with labeled axes representing Rangatiratanga to Kawanatanga and Partnership to Oritetanga, indicating relationships between different groups and concep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808549" name="Picture 1" descr="Diagram illustrating a framework centered on &quot;Te Ngako,&quot; highlighting four key areas: Quality Participation, Roles and Representation, Quality Governance, and Taura Here. The diagram uses a purple color scheme with labeled axes representing Rangatiratanga to Kawanatanga and Partnership to Oritetanga, indicating relationships between different groups and concepts.&#10;&#10;"/>
                    <pic:cNvPicPr/>
                  </pic:nvPicPr>
                  <pic:blipFill>
                    <a:blip r:embed="rId9">
                      <a:extLst>
                        <a:ext uri="{28A0092B-C50C-407E-A947-70E740481C1C}">
                          <a14:useLocalDpi xmlns:a14="http://schemas.microsoft.com/office/drawing/2010/main" val="0"/>
                        </a:ext>
                      </a:extLst>
                    </a:blip>
                    <a:stretch>
                      <a:fillRect/>
                    </a:stretch>
                  </pic:blipFill>
                  <pic:spPr>
                    <a:xfrm>
                      <a:off x="0" y="0"/>
                      <a:ext cx="5731510" cy="3648710"/>
                    </a:xfrm>
                    <a:prstGeom prst="rect">
                      <a:avLst/>
                    </a:prstGeom>
                  </pic:spPr>
                </pic:pic>
              </a:graphicData>
            </a:graphic>
          </wp:inline>
        </w:drawing>
      </w:r>
    </w:p>
    <w:p w14:paraId="20F0C211" w14:textId="421FDDEA" w:rsidR="005A10BD" w:rsidRPr="00C320E5" w:rsidRDefault="005A10BD" w:rsidP="00C320E5">
      <w:pPr>
        <w:pStyle w:val="Heading2"/>
        <w:rPr>
          <w:color w:val="6D2165"/>
        </w:rPr>
      </w:pPr>
      <w:r w:rsidRPr="005A10BD">
        <w:rPr>
          <w:color w:val="6D2165"/>
        </w:rPr>
        <w:t>What is Te Tautuhi ō Rongo?</w:t>
      </w:r>
    </w:p>
    <w:p w14:paraId="6361D5FB" w14:textId="77777777" w:rsidR="005A10BD" w:rsidRPr="00C320E5" w:rsidRDefault="005A10BD" w:rsidP="00C320E5">
      <w:pPr>
        <w:pStyle w:val="Heading3"/>
        <w:rPr>
          <w:color w:val="6D2165"/>
        </w:rPr>
      </w:pPr>
      <w:r w:rsidRPr="00C320E5">
        <w:rPr>
          <w:color w:val="6D2165"/>
        </w:rPr>
        <w:t>Key Features:</w:t>
      </w:r>
    </w:p>
    <w:p w14:paraId="3B5AF518" w14:textId="77777777" w:rsidR="005A10BD" w:rsidRPr="005A10BD" w:rsidRDefault="005A10BD" w:rsidP="005A10BD">
      <w:pPr>
        <w:numPr>
          <w:ilvl w:val="0"/>
          <w:numId w:val="1"/>
        </w:numPr>
      </w:pPr>
      <w:r w:rsidRPr="005A10BD">
        <w:t>Grounded in the articles and principles of Te Tiriti o Waitangi | The Treaty of Waitangi (Te Tiriti).</w:t>
      </w:r>
    </w:p>
    <w:p w14:paraId="2B797DAD" w14:textId="77777777" w:rsidR="005A10BD" w:rsidRPr="005A10BD" w:rsidRDefault="005A10BD" w:rsidP="005A10BD">
      <w:pPr>
        <w:numPr>
          <w:ilvl w:val="0"/>
          <w:numId w:val="1"/>
        </w:numPr>
      </w:pPr>
      <w:r w:rsidRPr="005A10BD">
        <w:t>Considers the rights, interests and responsibilities of both collectives (whānau, hapū, Iwi) and individuals (Māori as citizens of Aotearoa New Zealand).</w:t>
      </w:r>
    </w:p>
    <w:p w14:paraId="0801DF33" w14:textId="3637CCAE" w:rsidR="005A10BD" w:rsidRPr="005A10BD" w:rsidRDefault="005A10BD" w:rsidP="005A10BD">
      <w:pPr>
        <w:numPr>
          <w:ilvl w:val="0"/>
          <w:numId w:val="1"/>
        </w:numPr>
      </w:pPr>
      <w:r w:rsidRPr="005A10BD">
        <w:t>Provides a structured approach to exploring these rights, interests and responsibilities when examining an issue or opportunity, developing or implementing policy, improving regulation, or engaging with stakeholders.</w:t>
      </w:r>
    </w:p>
    <w:p w14:paraId="4ADC6651" w14:textId="77777777" w:rsidR="005A10BD" w:rsidRPr="005A10BD" w:rsidRDefault="005A10BD" w:rsidP="005A10BD">
      <w:r w:rsidRPr="005A10BD">
        <w:t>Te Tautuhi ō Rongo is a Māori public policy framework that supports public servants deliver better policy and engagement outcomes, grounded in a positive reading of Te Tiriti.</w:t>
      </w:r>
    </w:p>
    <w:p w14:paraId="044E1383" w14:textId="77777777" w:rsidR="005A10BD" w:rsidRPr="005A10BD" w:rsidRDefault="005A10BD" w:rsidP="005A10BD">
      <w:pPr>
        <w:rPr>
          <w:i/>
          <w:iCs/>
        </w:rPr>
      </w:pPr>
    </w:p>
    <w:p w14:paraId="4CD219AB" w14:textId="0F6E4F9F" w:rsidR="005A10BD" w:rsidRPr="00C320E5" w:rsidRDefault="005A10BD" w:rsidP="005A10BD">
      <w:r w:rsidRPr="005A10BD">
        <w:lastRenderedPageBreak/>
        <w:t>It encourages thoughtful, inclusive, decision-making across all stages of policy development and engagement to assist the Crown in giving effect to Te Tiriti.</w:t>
      </w:r>
    </w:p>
    <w:p w14:paraId="4F735104" w14:textId="64FDC60B" w:rsidR="005A10BD" w:rsidRDefault="005A10BD" w:rsidP="00C320E5">
      <w:r w:rsidRPr="00C320E5">
        <w:t>So, Te Tautuhi ō Rongo can help me to differentiate between the collective rights, interests and responsibilities of hapū and Iwi, as well as the individual rights, interests and responsibilities of Māori as citizens of Aotearoa New Zealand. This will be so helpful for my analysis.</w:t>
      </w:r>
    </w:p>
    <w:p w14:paraId="7690A5E8" w14:textId="77777777" w:rsidR="00C320E5" w:rsidRPr="00C320E5" w:rsidRDefault="00C320E5" w:rsidP="00C320E5"/>
    <w:p w14:paraId="1BAFED72" w14:textId="689E52F5" w:rsidR="005A10BD" w:rsidRPr="00C320E5" w:rsidRDefault="005A10BD" w:rsidP="00C320E5">
      <w:pPr>
        <w:pStyle w:val="Heading2"/>
        <w:rPr>
          <w:color w:val="6D2165"/>
        </w:rPr>
      </w:pPr>
      <w:r w:rsidRPr="00C320E5">
        <w:rPr>
          <w:color w:val="6D2165"/>
        </w:rPr>
        <w:t>Why It Matters for Public Servants</w:t>
      </w:r>
    </w:p>
    <w:p w14:paraId="2255B6D0" w14:textId="77777777" w:rsidR="005A10BD" w:rsidRPr="005A10BD" w:rsidRDefault="005A10BD" w:rsidP="005A10BD">
      <w:r w:rsidRPr="005A10BD">
        <w:t>Te Tautuhi ō Rongo helps public servants:</w:t>
      </w:r>
    </w:p>
    <w:p w14:paraId="14E9D1BC" w14:textId="760E4E65" w:rsidR="005A10BD" w:rsidRPr="00C320E5" w:rsidRDefault="005A10BD" w:rsidP="005A10BD">
      <w:pPr>
        <w:pStyle w:val="ListParagraph"/>
        <w:numPr>
          <w:ilvl w:val="0"/>
          <w:numId w:val="2"/>
        </w:numPr>
      </w:pPr>
      <w:r w:rsidRPr="00C320E5">
        <w:t>Distinguish between the collective rights, interests and responsibilities of hapū and Iwi, and those of individual Māori as citizens of Aotearoa New Zealand.</w:t>
      </w:r>
    </w:p>
    <w:p w14:paraId="44FE5B77" w14:textId="673A815B" w:rsidR="005A10BD" w:rsidRPr="00C320E5" w:rsidRDefault="005A10BD" w:rsidP="005A10BD">
      <w:pPr>
        <w:pStyle w:val="ListParagraph"/>
        <w:numPr>
          <w:ilvl w:val="0"/>
          <w:numId w:val="2"/>
        </w:numPr>
      </w:pPr>
      <w:r w:rsidRPr="00C320E5">
        <w:t>Understand the distinct roles and responsibilities of Māori as members of hapū and Iwi, as tangata whenua and as citizens.</w:t>
      </w:r>
    </w:p>
    <w:p w14:paraId="2F1CEE09" w14:textId="77777777" w:rsidR="005A10BD" w:rsidRPr="00C320E5" w:rsidRDefault="005A10BD" w:rsidP="005A10BD">
      <w:pPr>
        <w:pStyle w:val="ListParagraph"/>
        <w:numPr>
          <w:ilvl w:val="0"/>
          <w:numId w:val="2"/>
        </w:numPr>
      </w:pPr>
      <w:r w:rsidRPr="00C320E5">
        <w:t>Clarify who we mean by ‘Māori’ when working on public policy.</w:t>
      </w:r>
    </w:p>
    <w:p w14:paraId="5EC24D49" w14:textId="70097601" w:rsidR="005A10BD" w:rsidRPr="00C320E5" w:rsidRDefault="005A10BD" w:rsidP="005A10BD">
      <w:pPr>
        <w:pStyle w:val="ListParagraph"/>
        <w:numPr>
          <w:ilvl w:val="0"/>
          <w:numId w:val="2"/>
        </w:numPr>
      </w:pPr>
      <w:r w:rsidRPr="00C320E5">
        <w:t>Avoid policy failures caused by conflating collective and individual rights, interests and responsibilities.</w:t>
      </w:r>
    </w:p>
    <w:p w14:paraId="6A5A4269" w14:textId="620BE570" w:rsidR="005A10BD" w:rsidRPr="00C320E5" w:rsidRDefault="005A10BD" w:rsidP="005A10BD">
      <w:pPr>
        <w:pStyle w:val="ListParagraph"/>
        <w:numPr>
          <w:ilvl w:val="0"/>
          <w:numId w:val="2"/>
        </w:numPr>
      </w:pPr>
      <w:r w:rsidRPr="00C320E5">
        <w:t>Improve the quality of advice and engagement by identifying who is impacted and how.</w:t>
      </w:r>
    </w:p>
    <w:p w14:paraId="713B3E6C" w14:textId="15D3BAC5" w:rsidR="005A10BD" w:rsidRPr="005A10BD" w:rsidRDefault="003B3B9E" w:rsidP="005A10BD">
      <w:pPr>
        <w:rPr>
          <w:i/>
          <w:iCs/>
        </w:rPr>
      </w:pPr>
      <w:r>
        <w:rPr>
          <w:i/>
          <w:iCs/>
          <w:noProof/>
        </w:rPr>
        <w:drawing>
          <wp:anchor distT="0" distB="0" distL="114300" distR="114300" simplePos="0" relativeHeight="251658240" behindDoc="1" locked="0" layoutInCell="1" allowOverlap="1" wp14:anchorId="20BDC446" wp14:editId="1F84AF61">
            <wp:simplePos x="0" y="0"/>
            <wp:positionH relativeFrom="margin">
              <wp:align>left</wp:align>
            </wp:positionH>
            <wp:positionV relativeFrom="paragraph">
              <wp:posOffset>316230</wp:posOffset>
            </wp:positionV>
            <wp:extent cx="2632710" cy="2257425"/>
            <wp:effectExtent l="0" t="0" r="0" b="0"/>
            <wp:wrapTight wrapText="bothSides">
              <wp:wrapPolygon edited="0">
                <wp:start x="0" y="0"/>
                <wp:lineTo x="0" y="21327"/>
                <wp:lineTo x="21412" y="21327"/>
                <wp:lineTo x="21412" y="0"/>
                <wp:lineTo x="0" y="0"/>
              </wp:wrapPolygon>
            </wp:wrapTight>
            <wp:docPr id="166206488" name="Picture 3" descr="Illustration of a woman standing with one arm raised, wearing a long-sleeve purple top and dark purple pants. The figure has dark curly hair and is positioned against a plain white backgroun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06488" name="Picture 3" descr="Illustration of a woman standing with one arm raised, wearing a long-sleeve purple top and dark purple pants. The figure has dark curly hair and is positioned against a plain white background.&#10;&#10;"/>
                    <pic:cNvPicPr/>
                  </pic:nvPicPr>
                  <pic:blipFill rotWithShape="1">
                    <a:blip r:embed="rId10">
                      <a:extLst>
                        <a:ext uri="{28A0092B-C50C-407E-A947-70E740481C1C}">
                          <a14:useLocalDpi xmlns:a14="http://schemas.microsoft.com/office/drawing/2010/main" val="0"/>
                        </a:ext>
                      </a:extLst>
                    </a:blip>
                    <a:srcRect l="37060" t="3250" r="38511" b="59523"/>
                    <a:stretch>
                      <a:fillRect/>
                    </a:stretch>
                  </pic:blipFill>
                  <pic:spPr bwMode="auto">
                    <a:xfrm>
                      <a:off x="0" y="0"/>
                      <a:ext cx="2647201" cy="226934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AE7A76" w14:textId="38E963EE" w:rsidR="003B3B9E" w:rsidRDefault="003B3B9E" w:rsidP="005A10BD">
      <w:pPr>
        <w:rPr>
          <w:i/>
          <w:iCs/>
        </w:rPr>
      </w:pPr>
    </w:p>
    <w:p w14:paraId="0EE70894" w14:textId="191B9FF1" w:rsidR="005A10BD" w:rsidRDefault="005A10BD" w:rsidP="005A10BD">
      <w:pPr>
        <w:rPr>
          <w:i/>
          <w:iCs/>
        </w:rPr>
      </w:pPr>
      <w:r w:rsidRPr="005A10BD">
        <w:rPr>
          <w:i/>
          <w:iCs/>
        </w:rPr>
        <w:t>Te Tautuhi ō Rongo aims to address the problem of policies that don’t meet the real needs of the people they’re meant for.</w:t>
      </w:r>
    </w:p>
    <w:p w14:paraId="4CA5B31F" w14:textId="1C8D0D43" w:rsidR="00863127" w:rsidRDefault="00863127" w:rsidP="005A10BD">
      <w:pPr>
        <w:rPr>
          <w:i/>
          <w:iCs/>
        </w:rPr>
      </w:pPr>
    </w:p>
    <w:p w14:paraId="5B4848B4" w14:textId="69D2C4CA" w:rsidR="003B3B9E" w:rsidRDefault="004876A9" w:rsidP="005A10BD">
      <w:pPr>
        <w:rPr>
          <w:i/>
          <w:iCs/>
        </w:rPr>
      </w:pPr>
      <w:r>
        <w:rPr>
          <w:i/>
          <w:iCs/>
          <w:noProof/>
        </w:rPr>
        <w:drawing>
          <wp:anchor distT="0" distB="0" distL="114300" distR="114300" simplePos="0" relativeHeight="251658241" behindDoc="1" locked="0" layoutInCell="1" allowOverlap="1" wp14:anchorId="39E647C9" wp14:editId="55A6A00B">
            <wp:simplePos x="0" y="0"/>
            <wp:positionH relativeFrom="column">
              <wp:posOffset>3579495</wp:posOffset>
            </wp:positionH>
            <wp:positionV relativeFrom="paragraph">
              <wp:posOffset>27305</wp:posOffset>
            </wp:positionV>
            <wp:extent cx="2162810" cy="2563495"/>
            <wp:effectExtent l="0" t="0" r="8890" b="8255"/>
            <wp:wrapTight wrapText="bothSides">
              <wp:wrapPolygon edited="0">
                <wp:start x="0" y="0"/>
                <wp:lineTo x="0" y="21509"/>
                <wp:lineTo x="21499" y="21509"/>
                <wp:lineTo x="21499" y="0"/>
                <wp:lineTo x="0" y="0"/>
              </wp:wrapPolygon>
            </wp:wrapTight>
            <wp:docPr id="1378616454" name="Picture 4" descr="Illustration of a man with a beard wearing a purple checkered shirt, white undershirt, dark green pants, and black shoes. The man is standing and gesturing with his right hand rais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16454" name="Picture 4" descr="Illustration of a man with a beard wearing a purple checkered shirt, white undershirt, dark green pants, and black shoes. The man is standing and gesturing with his right hand raised.&#10;&#10;"/>
                    <pic:cNvPicPr/>
                  </pic:nvPicPr>
                  <pic:blipFill rotWithShape="1">
                    <a:blip r:embed="rId11">
                      <a:extLst>
                        <a:ext uri="{28A0092B-C50C-407E-A947-70E740481C1C}">
                          <a14:useLocalDpi xmlns:a14="http://schemas.microsoft.com/office/drawing/2010/main" val="0"/>
                        </a:ext>
                      </a:extLst>
                    </a:blip>
                    <a:srcRect l="35398" t="11818" r="46654" b="50365"/>
                    <a:stretch>
                      <a:fillRect/>
                    </a:stretch>
                  </pic:blipFill>
                  <pic:spPr bwMode="auto">
                    <a:xfrm>
                      <a:off x="0" y="0"/>
                      <a:ext cx="2162810" cy="2563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EA2B0C" w14:textId="7146ACB7" w:rsidR="003B3B9E" w:rsidRDefault="003B3B9E" w:rsidP="005A10BD">
      <w:pPr>
        <w:rPr>
          <w:i/>
          <w:iCs/>
        </w:rPr>
      </w:pPr>
    </w:p>
    <w:p w14:paraId="40B4C01A" w14:textId="3C67AA38" w:rsidR="003B3B9E" w:rsidRDefault="003B3B9E" w:rsidP="005A10BD">
      <w:pPr>
        <w:rPr>
          <w:i/>
          <w:iCs/>
        </w:rPr>
      </w:pPr>
    </w:p>
    <w:p w14:paraId="6DA79460" w14:textId="5A863602" w:rsidR="003B3B9E" w:rsidRPr="005A10BD" w:rsidRDefault="003B3B9E" w:rsidP="005A10BD">
      <w:pPr>
        <w:rPr>
          <w:i/>
          <w:iCs/>
        </w:rPr>
      </w:pPr>
    </w:p>
    <w:p w14:paraId="5040CA84" w14:textId="77777777" w:rsidR="005A10BD" w:rsidRDefault="005A10BD" w:rsidP="005A10BD">
      <w:pPr>
        <w:rPr>
          <w:i/>
          <w:iCs/>
        </w:rPr>
      </w:pPr>
      <w:r w:rsidRPr="005A10BD">
        <w:rPr>
          <w:i/>
          <w:iCs/>
        </w:rPr>
        <w:t>Yes, because when we understand who we are making policy for, we can best address their needs, interests, rights and responsibilities</w:t>
      </w:r>
    </w:p>
    <w:p w14:paraId="64B61420" w14:textId="77777777" w:rsidR="005A10BD" w:rsidRDefault="005A10BD" w:rsidP="005A10BD">
      <w:pPr>
        <w:rPr>
          <w:i/>
          <w:iCs/>
        </w:rPr>
      </w:pPr>
    </w:p>
    <w:p w14:paraId="103BD90E" w14:textId="77777777" w:rsidR="00C320E5" w:rsidRDefault="00C320E5" w:rsidP="005A10BD">
      <w:pPr>
        <w:rPr>
          <w:i/>
          <w:iCs/>
        </w:rPr>
      </w:pPr>
    </w:p>
    <w:p w14:paraId="338CB2E4" w14:textId="2D0AE88E" w:rsidR="005A10BD" w:rsidRPr="00C320E5" w:rsidRDefault="005A10BD" w:rsidP="00C320E5">
      <w:pPr>
        <w:pStyle w:val="Heading2"/>
        <w:rPr>
          <w:color w:val="6D2165"/>
        </w:rPr>
      </w:pPr>
      <w:r w:rsidRPr="00C320E5">
        <w:rPr>
          <w:color w:val="6D2165"/>
        </w:rPr>
        <w:lastRenderedPageBreak/>
        <w:t>Origins and Development</w:t>
      </w:r>
    </w:p>
    <w:p w14:paraId="003C4E00" w14:textId="1D19AB86" w:rsidR="005A10BD" w:rsidRPr="00C320E5" w:rsidRDefault="005A10BD" w:rsidP="005A10BD">
      <w:r w:rsidRPr="005A10BD">
        <w:t>Te Tautuhi ō Rongo was first conceptualised by Hekia Parata in the 1990s. It has evolved through several key milestones since then.</w:t>
      </w:r>
    </w:p>
    <w:p w14:paraId="115F6F7F" w14:textId="7C00159C" w:rsidR="005A10BD" w:rsidRPr="00C320E5" w:rsidRDefault="005A10BD" w:rsidP="005A10BD">
      <w:r w:rsidRPr="00C320E5">
        <w:rPr>
          <w:rStyle w:val="Heading3Char"/>
          <w:color w:val="6D2165"/>
        </w:rPr>
        <w:t>1997:</w:t>
      </w:r>
      <w:r>
        <w:rPr>
          <w:i/>
          <w:iCs/>
        </w:rPr>
        <w:t xml:space="preserve"> </w:t>
      </w:r>
      <w:r w:rsidRPr="005A10BD">
        <w:t>Introduced as a Treaty framework by Hekia Parata at a NZ Law Society seminar with Honourable Justice Baragwanath &amp; Honourable Sir Joe Williams.</w:t>
      </w:r>
    </w:p>
    <w:p w14:paraId="3C840712" w14:textId="566385C3" w:rsidR="005A10BD" w:rsidRDefault="005A10BD" w:rsidP="005A10BD">
      <w:pPr>
        <w:rPr>
          <w:i/>
          <w:iCs/>
        </w:rPr>
      </w:pPr>
      <w:r w:rsidRPr="00C320E5">
        <w:rPr>
          <w:rStyle w:val="Heading3Char"/>
          <w:color w:val="6D2165"/>
        </w:rPr>
        <w:t>2020:</w:t>
      </w:r>
      <w:r w:rsidRPr="00C320E5">
        <w:rPr>
          <w:i/>
          <w:iCs/>
          <w:color w:val="6D2165"/>
        </w:rPr>
        <w:t xml:space="preserve"> </w:t>
      </w:r>
      <w:r w:rsidRPr="005A10BD">
        <w:t>Te Puni Kōkiri self-initiated a performance improvement framework review, which identified the need for a Māori public policy framework. Developed through Te Whare Wānanga o Awanuiārangi, this framework is known as Te Tautuhi ō Rongo.</w:t>
      </w:r>
    </w:p>
    <w:p w14:paraId="67CE0F44" w14:textId="430F730A" w:rsidR="005A10BD" w:rsidRDefault="005A10BD" w:rsidP="005A10BD">
      <w:r w:rsidRPr="00C320E5">
        <w:rPr>
          <w:rStyle w:val="Heading3Char"/>
          <w:color w:val="6D2165"/>
        </w:rPr>
        <w:t>2024:</w:t>
      </w:r>
      <w:r w:rsidRPr="00C320E5">
        <w:rPr>
          <w:i/>
          <w:iCs/>
          <w:color w:val="6D2165"/>
        </w:rPr>
        <w:t xml:space="preserve"> </w:t>
      </w:r>
      <w:r w:rsidRPr="005A10BD">
        <w:t>Cabinet noted that Te Tautuhi ō Rongo can serve as a consistent policy tool across the public service. The Minister for Māori Development set the expectation that Te Tautuhi ō Rongo be used across the public service to help draft policy related to Iwi and Māori.</w:t>
      </w:r>
    </w:p>
    <w:p w14:paraId="709929C3" w14:textId="77777777" w:rsidR="00C320E5" w:rsidRDefault="00C320E5" w:rsidP="005A10BD">
      <w:pPr>
        <w:rPr>
          <w:i/>
          <w:iCs/>
        </w:rPr>
      </w:pPr>
    </w:p>
    <w:p w14:paraId="56429DA7" w14:textId="77777777" w:rsidR="005A10BD" w:rsidRDefault="005A10BD" w:rsidP="00C320E5">
      <w:pPr>
        <w:pStyle w:val="Heading2"/>
        <w:rPr>
          <w:color w:val="6D2165"/>
        </w:rPr>
      </w:pPr>
      <w:r w:rsidRPr="00C320E5">
        <w:rPr>
          <w:color w:val="6D2165"/>
        </w:rPr>
        <w:t>Locating Public Servants within Te Tautuhi ō Rongo</w:t>
      </w:r>
    </w:p>
    <w:p w14:paraId="4F3B4792" w14:textId="77777777" w:rsidR="00C320E5" w:rsidRPr="00C320E5" w:rsidRDefault="00C320E5" w:rsidP="00C320E5">
      <w:r w:rsidRPr="00C320E5">
        <w:t>As public servants, we are always located on the Kāwanatanga Axis.  This is because in our public service roles we are representing our agencies and the government of the day. Our role includes:</w:t>
      </w:r>
    </w:p>
    <w:p w14:paraId="30359191" w14:textId="77777777" w:rsidR="00C320E5" w:rsidRPr="00C320E5" w:rsidRDefault="00C320E5" w:rsidP="00C320E5">
      <w:pPr>
        <w:numPr>
          <w:ilvl w:val="0"/>
          <w:numId w:val="3"/>
        </w:numPr>
      </w:pPr>
      <w:r w:rsidRPr="00C320E5">
        <w:t>Providing free and frank advice.</w:t>
      </w:r>
    </w:p>
    <w:p w14:paraId="121E463D" w14:textId="77777777" w:rsidR="00C320E5" w:rsidRPr="00C320E5" w:rsidRDefault="00C320E5" w:rsidP="00C320E5">
      <w:pPr>
        <w:numPr>
          <w:ilvl w:val="0"/>
          <w:numId w:val="3"/>
        </w:numPr>
      </w:pPr>
      <w:r w:rsidRPr="00C320E5">
        <w:t>Assisting the Crown in giving effect to Te Tiriti.</w:t>
      </w:r>
    </w:p>
    <w:p w14:paraId="58A7CB17" w14:textId="4EBD2F48" w:rsidR="00C320E5" w:rsidRDefault="00C320E5" w:rsidP="00C320E5">
      <w:pPr>
        <w:numPr>
          <w:ilvl w:val="0"/>
          <w:numId w:val="3"/>
        </w:numPr>
      </w:pPr>
      <w:r w:rsidRPr="00C320E5">
        <w:t>Ensuring policy reflects both citizenship and whakapapa-based rights, interests and responsibilities.</w:t>
      </w:r>
    </w:p>
    <w:p w14:paraId="4B2D6909" w14:textId="77777777" w:rsidR="00C320E5" w:rsidRDefault="00C320E5" w:rsidP="00C320E5"/>
    <w:p w14:paraId="4EFFCD93" w14:textId="7980E0DF" w:rsidR="00C320E5" w:rsidRDefault="00C320E5" w:rsidP="00C320E5">
      <w:r>
        <w:rPr>
          <w:noProof/>
        </w:rPr>
        <w:drawing>
          <wp:inline distT="0" distB="0" distL="0" distR="0" wp14:anchorId="603FC84A" wp14:editId="2DD127C3">
            <wp:extent cx="3762375" cy="2508112"/>
            <wp:effectExtent l="0" t="0" r="0" b="6985"/>
            <wp:docPr id="2054617148" name="Picture 2" descr="Diagram titled &quot;The Kāwanatanga Axis&quot; illustrating relationships between Iwi &amp; Hapū, Crown, and Citizens (Māori &amp; non-Māori). It features arrows indicating partnership between Iwi &amp; Hapū and Crown, a bidirectional arrow between Crown and Citizens, and a shaded area marking government agencies' location within the Crown and Citizens sectio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617148" name="Picture 2" descr="Diagram titled &quot;The Kāwanatanga Axis&quot; illustrating relationships between Iwi &amp; Hapū, Crown, and Citizens (Māori &amp; non-Māori). It features arrows indicating partnership between Iwi &amp; Hapū and Crown, a bidirectional arrow between Crown and Citizens, and a shaded area marking government agencies' location within the Crown and Citizens section.&#10;&#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93389" cy="2528787"/>
                    </a:xfrm>
                    <a:prstGeom prst="rect">
                      <a:avLst/>
                    </a:prstGeom>
                  </pic:spPr>
                </pic:pic>
              </a:graphicData>
            </a:graphic>
          </wp:inline>
        </w:drawing>
      </w:r>
    </w:p>
    <w:p w14:paraId="0EDE3741" w14:textId="0A81C67F" w:rsidR="00C320E5" w:rsidRPr="00C320E5" w:rsidRDefault="00C320E5" w:rsidP="00C320E5">
      <w:pPr>
        <w:pStyle w:val="Heading2"/>
        <w:rPr>
          <w:color w:val="6D2165"/>
        </w:rPr>
      </w:pPr>
      <w:r w:rsidRPr="00C320E5">
        <w:rPr>
          <w:color w:val="6D2165"/>
        </w:rPr>
        <w:lastRenderedPageBreak/>
        <w:t>Something to reflect on...</w:t>
      </w:r>
    </w:p>
    <w:p w14:paraId="34776B6A" w14:textId="7DFA6857" w:rsidR="00C320E5" w:rsidRDefault="00C320E5" w:rsidP="00C320E5">
      <w:r>
        <w:t>Why is it important to distinguish between Māori as members of hapū and Iwi, as tangata whenua and as citizens?</w:t>
      </w:r>
    </w:p>
    <w:p w14:paraId="1A4899ED" w14:textId="1DB4BBD8" w:rsidR="00C320E5" w:rsidRDefault="00C320E5" w:rsidP="00C320E5"/>
    <w:p w14:paraId="0AA2C897" w14:textId="74C38AC7" w:rsidR="00C320E5" w:rsidRPr="00C320E5" w:rsidRDefault="00C320E5" w:rsidP="00C320E5">
      <w:pPr>
        <w:rPr>
          <w:b/>
          <w:bCs/>
        </w:rPr>
      </w:pPr>
      <w:r w:rsidRPr="00C320E5">
        <w:rPr>
          <w:b/>
          <w:bCs/>
        </w:rPr>
        <w:t>End</w:t>
      </w:r>
      <w:r>
        <w:rPr>
          <w:b/>
          <w:bCs/>
        </w:rPr>
        <w:t>.</w:t>
      </w:r>
    </w:p>
    <w:p w14:paraId="6DCFD61E" w14:textId="77777777" w:rsidR="00C320E5" w:rsidRPr="00C320E5" w:rsidRDefault="00C320E5" w:rsidP="00C320E5"/>
    <w:p w14:paraId="32D01889" w14:textId="77777777" w:rsidR="005A10BD" w:rsidRDefault="005A10BD" w:rsidP="005A10BD">
      <w:pPr>
        <w:rPr>
          <w:i/>
          <w:iCs/>
        </w:rPr>
      </w:pPr>
    </w:p>
    <w:p w14:paraId="72584D30" w14:textId="77777777" w:rsidR="005A10BD" w:rsidRPr="005A10BD" w:rsidRDefault="005A10BD" w:rsidP="005A10BD">
      <w:pPr>
        <w:rPr>
          <w:i/>
          <w:iCs/>
        </w:rPr>
      </w:pPr>
    </w:p>
    <w:p w14:paraId="17AA138D" w14:textId="77777777" w:rsidR="005A10BD" w:rsidRPr="005A10BD" w:rsidRDefault="005A10BD" w:rsidP="005A10BD">
      <w:pPr>
        <w:rPr>
          <w:i/>
          <w:iCs/>
        </w:rPr>
      </w:pPr>
    </w:p>
    <w:p w14:paraId="37548978" w14:textId="77777777" w:rsidR="005A10BD" w:rsidRPr="005A10BD" w:rsidRDefault="005A10BD" w:rsidP="005A10BD">
      <w:pPr>
        <w:rPr>
          <w:i/>
          <w:iCs/>
        </w:rPr>
      </w:pPr>
    </w:p>
    <w:p w14:paraId="1C52EC31" w14:textId="77777777" w:rsidR="005A10BD" w:rsidRPr="005A10BD" w:rsidRDefault="005A10BD" w:rsidP="005A10BD">
      <w:pPr>
        <w:rPr>
          <w:i/>
          <w:iCs/>
        </w:rPr>
      </w:pPr>
    </w:p>
    <w:p w14:paraId="0F1AD886" w14:textId="77777777" w:rsidR="005A10BD" w:rsidRPr="005A10BD" w:rsidRDefault="005A10BD" w:rsidP="005A10BD">
      <w:pPr>
        <w:rPr>
          <w:i/>
          <w:iCs/>
        </w:rPr>
      </w:pPr>
    </w:p>
    <w:sectPr w:rsidR="005A10BD" w:rsidRPr="005A10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A19E6"/>
    <w:multiLevelType w:val="multilevel"/>
    <w:tmpl w:val="A4C0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977482"/>
    <w:multiLevelType w:val="hybridMultilevel"/>
    <w:tmpl w:val="D4D6D3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84D22F1"/>
    <w:multiLevelType w:val="multilevel"/>
    <w:tmpl w:val="4C1E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249454">
    <w:abstractNumId w:val="2"/>
  </w:num>
  <w:num w:numId="2" w16cid:durableId="1096751099">
    <w:abstractNumId w:val="1"/>
  </w:num>
  <w:num w:numId="3" w16cid:durableId="117618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BD"/>
    <w:rsid w:val="003A76F1"/>
    <w:rsid w:val="003B3B9E"/>
    <w:rsid w:val="004876A9"/>
    <w:rsid w:val="00490DC0"/>
    <w:rsid w:val="00535D22"/>
    <w:rsid w:val="005A10BD"/>
    <w:rsid w:val="007824DF"/>
    <w:rsid w:val="00863127"/>
    <w:rsid w:val="00AB12A3"/>
    <w:rsid w:val="00BA2433"/>
    <w:rsid w:val="00BD0C11"/>
    <w:rsid w:val="00C320E5"/>
    <w:rsid w:val="00DA0FF1"/>
    <w:rsid w:val="00EB293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0D83"/>
  <w15:chartTrackingRefBased/>
  <w15:docId w15:val="{61B3F9AD-09AD-4C00-A936-D0401FB7D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10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10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10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10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BD"/>
    <w:rPr>
      <w:rFonts w:eastAsiaTheme="majorEastAsia" w:cstheme="majorBidi"/>
      <w:color w:val="272727" w:themeColor="text1" w:themeTint="D8"/>
    </w:rPr>
  </w:style>
  <w:style w:type="paragraph" w:styleId="Title">
    <w:name w:val="Title"/>
    <w:basedOn w:val="Normal"/>
    <w:next w:val="Normal"/>
    <w:link w:val="TitleChar"/>
    <w:uiPriority w:val="10"/>
    <w:qFormat/>
    <w:rsid w:val="005A1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BD"/>
    <w:pPr>
      <w:spacing w:before="160"/>
      <w:jc w:val="center"/>
    </w:pPr>
    <w:rPr>
      <w:i/>
      <w:iCs/>
      <w:color w:val="404040" w:themeColor="text1" w:themeTint="BF"/>
    </w:rPr>
  </w:style>
  <w:style w:type="character" w:customStyle="1" w:styleId="QuoteChar">
    <w:name w:val="Quote Char"/>
    <w:basedOn w:val="DefaultParagraphFont"/>
    <w:link w:val="Quote"/>
    <w:uiPriority w:val="29"/>
    <w:rsid w:val="005A10BD"/>
    <w:rPr>
      <w:i/>
      <w:iCs/>
      <w:color w:val="404040" w:themeColor="text1" w:themeTint="BF"/>
    </w:rPr>
  </w:style>
  <w:style w:type="paragraph" w:styleId="ListParagraph">
    <w:name w:val="List Paragraph"/>
    <w:basedOn w:val="Normal"/>
    <w:uiPriority w:val="34"/>
    <w:qFormat/>
    <w:rsid w:val="005A10BD"/>
    <w:pPr>
      <w:ind w:left="720"/>
      <w:contextualSpacing/>
    </w:pPr>
  </w:style>
  <w:style w:type="character" w:styleId="IntenseEmphasis">
    <w:name w:val="Intense Emphasis"/>
    <w:basedOn w:val="DefaultParagraphFont"/>
    <w:uiPriority w:val="21"/>
    <w:qFormat/>
    <w:rsid w:val="005A10BD"/>
    <w:rPr>
      <w:i/>
      <w:iCs/>
      <w:color w:val="0F4761" w:themeColor="accent1" w:themeShade="BF"/>
    </w:rPr>
  </w:style>
  <w:style w:type="paragraph" w:styleId="IntenseQuote">
    <w:name w:val="Intense Quote"/>
    <w:basedOn w:val="Normal"/>
    <w:next w:val="Normal"/>
    <w:link w:val="IntenseQuoteChar"/>
    <w:uiPriority w:val="30"/>
    <w:qFormat/>
    <w:rsid w:val="005A1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BD"/>
    <w:rPr>
      <w:i/>
      <w:iCs/>
      <w:color w:val="0F4761" w:themeColor="accent1" w:themeShade="BF"/>
    </w:rPr>
  </w:style>
  <w:style w:type="character" w:styleId="IntenseReference">
    <w:name w:val="Intense Reference"/>
    <w:basedOn w:val="DefaultParagraphFont"/>
    <w:uiPriority w:val="32"/>
    <w:qFormat/>
    <w:rsid w:val="005A10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F7DFA81AADF7F4BA7C4AC1EE85AEA82" ma:contentTypeVersion="45" ma:contentTypeDescription="Create a new document." ma:contentTypeScope="" ma:versionID="0de0afd2037aa650cf43807fcd184565">
  <xsd:schema xmlns:xsd="http://www.w3.org/2001/XMLSchema" xmlns:xs="http://www.w3.org/2001/XMLSchema" xmlns:p="http://schemas.microsoft.com/office/2006/metadata/properties" xmlns:ns2="26365202-4b37-46f6-8f4a-657aef1497de" xmlns:ns3="dc21d9c2-aeed-4cae-8cc0-b4ca12d214c2" xmlns:ns4="9dc116e7-e094-410d-8ce2-2c15de1f6263" targetNamespace="http://schemas.microsoft.com/office/2006/metadata/properties" ma:root="true" ma:fieldsID="19bafdc6b4ddc71221c16d149888f815" ns2:_="" ns3:_="" ns4:_="">
    <xsd:import namespace="26365202-4b37-46f6-8f4a-657aef1497de"/>
    <xsd:import namespace="dc21d9c2-aeed-4cae-8cc0-b4ca12d214c2"/>
    <xsd:import namespace="9dc116e7-e094-410d-8ce2-2c15de1f62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_Flow_SignoffStatu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65202-4b37-46f6-8f4a-657aef1497d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5ab1a1-11ae-492e-a01a-89f3de949367}" ma:internalName="TaxCatchAll" ma:showField="CatchAllData" ma:web="26365202-4b37-46f6-8f4a-657aef1497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21d9c2-aeed-4cae-8cc0-b4ca12d214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116e7-e094-410d-8ce2-2c15de1f6263"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65202-4b37-46f6-8f4a-657aef1497de" xsi:nil="true"/>
    <_Flow_SignoffStatus xmlns="9dc116e7-e094-410d-8ce2-2c15de1f6263" xsi:nil="true"/>
    <lcf76f155ced4ddcb4097134ff3c332f xmlns="9dc116e7-e094-410d-8ce2-2c15de1f6263">
      <Terms xmlns="http://schemas.microsoft.com/office/infopath/2007/PartnerControls"/>
    </lcf76f155ced4ddcb4097134ff3c332f>
    <_dlc_DocId xmlns="26365202-4b37-46f6-8f4a-657aef1497de">TKMLDC-1899142907-306730</_dlc_DocId>
    <_dlc_DocIdUrl xmlns="26365202-4b37-46f6-8f4a-657aef1497de">
      <Url>https://sscnz.sharepoint.com/sites/LDC/_layouts/15/DocIdRedir.aspx?ID=TKMLDC-1899142907-306730</Url>
      <Description>TKMLDC-1899142907-306730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01352-4AFE-4554-AEE2-968723020A0C}">
  <ds:schemaRefs>
    <ds:schemaRef ds:uri="http://schemas.microsoft.com/sharepoint/events"/>
  </ds:schemaRefs>
</ds:datastoreItem>
</file>

<file path=customXml/itemProps2.xml><?xml version="1.0" encoding="utf-8"?>
<ds:datastoreItem xmlns:ds="http://schemas.openxmlformats.org/officeDocument/2006/customXml" ds:itemID="{D2934A8B-3AF9-4065-B6D2-636C280A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65202-4b37-46f6-8f4a-657aef1497de"/>
    <ds:schemaRef ds:uri="dc21d9c2-aeed-4cae-8cc0-b4ca12d214c2"/>
    <ds:schemaRef ds:uri="9dc116e7-e094-410d-8ce2-2c15de1f6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5086C9-892F-426E-9207-4C2784807F8A}">
  <ds:schemaRefs>
    <ds:schemaRef ds:uri="http://schemas.microsoft.com/office/2006/metadata/properties"/>
    <ds:schemaRef ds:uri="http://schemas.microsoft.com/office/infopath/2007/PartnerControls"/>
    <ds:schemaRef ds:uri="26365202-4b37-46f6-8f4a-657aef1497de"/>
    <ds:schemaRef ds:uri="9dc116e7-e094-410d-8ce2-2c15de1f6263"/>
  </ds:schemaRefs>
</ds:datastoreItem>
</file>

<file path=customXml/itemProps4.xml><?xml version="1.0" encoding="utf-8"?>
<ds:datastoreItem xmlns:ds="http://schemas.openxmlformats.org/officeDocument/2006/customXml" ds:itemID="{354FD7D0-D1FB-4882-B064-A4B444ACFC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4</Pages>
  <Words>559</Words>
  <Characters>3014</Characters>
  <Application>Microsoft Office Word</Application>
  <DocSecurity>0</DocSecurity>
  <Lines>82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Wakelin</dc:creator>
  <cp:keywords/>
  <dc:description/>
  <cp:lastModifiedBy>Kate Wakelin</cp:lastModifiedBy>
  <cp:revision>9</cp:revision>
  <dcterms:created xsi:type="dcterms:W3CDTF">2026-03-30T05:36:00Z</dcterms:created>
  <dcterms:modified xsi:type="dcterms:W3CDTF">2026-04-08T02:38:00Z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0x0101002F7DFA81AADF7F4BA7C4AC1EE85AEA82</vt:lpwstr>
  </property>
  <property fmtid="{D5CDD505-2E9C-101B-9397-08002B2CF9AE}" pid="3" name="_dlc_DocIdItemGuid">
    <vt:lpwstr>b49cb27e-f4af-48aa-b262-3ce0ff91982f</vt:lpwstr>
  </property>
  <property fmtid="{D5CDD505-2E9C-101B-9397-08002B2CF9AE}" pid="4" name="MediaServiceImageTags">
    <vt:lpwstr/>
  </property>
</Properties>
</file>